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7ED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仿宋简体" w:cs="Times New Roman"/>
          <w:b/>
          <w:bCs/>
          <w:color w:val="auto"/>
          <w:sz w:val="44"/>
          <w:szCs w:val="44"/>
          <w:highlight w:val="none"/>
          <w:shd w:val="clear" w:color="auto" w:fill="auto"/>
          <w:lang w:val="en-US" w:eastAsia="zh-CN"/>
        </w:rPr>
      </w:pPr>
      <w:r>
        <w:rPr>
          <w:rFonts w:hint="eastAsia" w:eastAsia="方正仿宋简体" w:cs="Times New Roman"/>
          <w:b/>
          <w:bCs/>
          <w:color w:val="auto"/>
          <w:sz w:val="44"/>
          <w:szCs w:val="44"/>
          <w:highlight w:val="none"/>
          <w:shd w:val="clear" w:color="auto" w:fill="auto"/>
          <w:lang w:val="en-US" w:eastAsia="zh-CN"/>
        </w:rPr>
        <w:t>明山区2024年三公经费情况说明</w:t>
      </w:r>
    </w:p>
    <w:p w14:paraId="3A100D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 w14:paraId="12E089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202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年，全区“三公”经费支出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119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比预算金额减少58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下降32.8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%。其中：公务接待费支出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万元， 因公出国(境)费用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7万元，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公务用车购置及运行维护费支出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107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万元。</w:t>
      </w:r>
      <w:r>
        <w:rPr>
          <w:rFonts w:hint="eastAsia" w:eastAsia="方正仿宋简体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主要是本年公务用车运行维护费下降。</w:t>
      </w:r>
    </w:p>
    <w:p w14:paraId="40F35B9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C125B0"/>
    <w:rsid w:val="750C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104</Characters>
  <Lines>0</Lines>
  <Paragraphs>0</Paragraphs>
  <TotalTime>5</TotalTime>
  <ScaleCrop>false</ScaleCrop>
  <LinksUpToDate>false</LinksUpToDate>
  <CharactersWithSpaces>104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2026-11-05T07:00:00Z</dcterms:created>
  <dc:creator>Administrator</dc:creator>
  <cp:lastModifiedBy>Delbert辰</cp:lastModifiedBy>
  <dcterms:modified xsi:type="dcterms:W3CDTF">2026-11-06T04:48:26Z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F9C2D314809F44818F600E1C60EC3C95_12</vt:lpwstr>
  </property>
  <property fmtid="{D5CDD505-2E9C-101B-9397-08002B2CF9AE}" pid="4" name="KSOTemplateDocerSaveRecord">
    <vt:lpwstr>eyJoZGlkIjoiMTA2NzcyYTNjNjhiZTk3MzkzMzc5ZmNmZTgyNGI1ZTIiLCJ1c2VySWQiOiIzMTUwMDYxNDYifQ==</vt:lpwstr>
  </property>
</Properties>
</file>