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ADCDC5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2025年度公开重大政策和重点项目</w:t>
      </w:r>
    </w:p>
    <w:p w14:paraId="6E6F1707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绩效目标情况</w:t>
      </w:r>
    </w:p>
    <w:p w14:paraId="54B2952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2025年度开展77个部门整体和855个项目（政策）绩效目标编制工作，根据部门重点工作履职和项目实施内容、支持方向合理编制绩效目标和指标，更好辅助预算执行和过程管理。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EF7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2026-11-06T06:18:30Z</dcterms:created>
  <dc:creator>HP</dc:creator>
  <cp:lastModifiedBy>HP</cp:lastModifiedBy>
  <dcterms:modified xsi:type="dcterms:W3CDTF">2026-11-06T06:19:31Z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KSOTemplateDocerSaveRecord">
    <vt:lpwstr>eyJoZGlkIjoiNDAzOWY0MjE1MDJjZmRkMjc4M2I2MzdjMWQ0M2RmNjAifQ==</vt:lpwstr>
  </property>
  <property fmtid="{D5CDD505-2E9C-101B-9397-08002B2CF9AE}" pid="4" name="ICV">
    <vt:lpwstr>736F7FBF19A24E2CB3C4CC5F6F9FD888_12</vt:lpwstr>
  </property>
</Properties>
</file>