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43D6F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2024年决算公开重大政策和重点项目</w:t>
      </w:r>
    </w:p>
    <w:p w14:paraId="4F9EE7B4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绩效执行结果</w:t>
      </w:r>
    </w:p>
    <w:p w14:paraId="4330F64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BEA2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共计开展76个部门整体、658个项目绩效自评工作，绩效自评已在预算管理一体化系统规范填报，自评结果经财政审核后规范留痕，工作顺利完成。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6C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2026-11-06T06:21:57Z</dcterms:created>
  <dc:creator>HP</dc:creator>
  <cp:lastModifiedBy>HP</cp:lastModifiedBy>
  <dcterms:modified xsi:type="dcterms:W3CDTF">2026-11-06T06:22:42Z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eyJoZGlkIjoiNDAzOWY0MjE1MDJjZmRkMjc4M2I2MzdjMWQ0M2RmNjAifQ==</vt:lpwstr>
  </property>
  <property fmtid="{D5CDD505-2E9C-101B-9397-08002B2CF9AE}" pid="4" name="ICV">
    <vt:lpwstr>70D38820EE214FC8AF6FFDD20A8E7891_12</vt:lpwstr>
  </property>
</Properties>
</file>