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A489678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</w:rPr>
        <w:t>关于明山区20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</w:rPr>
        <w:t>年财政决算（草案）的报告</w:t>
      </w:r>
    </w:p>
    <w:p w14:paraId="086AAA2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</w:p>
    <w:p w14:paraId="46630FE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rPr>
          <w:rFonts w:hint="default" w:ascii="Times New Roman" w:hAnsi="Times New Roman" w:eastAsia="方正楷体简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spacing w:val="-20"/>
          <w:sz w:val="32"/>
          <w:szCs w:val="32"/>
          <w:highlight w:val="none"/>
        </w:rPr>
        <w:t>——</w:t>
      </w:r>
      <w:r>
        <w:rPr>
          <w:rFonts w:hint="default" w:ascii="Times New Roman" w:hAnsi="Times New Roman" w:eastAsia="方正楷体简体" w:cs="Times New Roman"/>
          <w:b w:val="0"/>
          <w:bCs w:val="0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方正楷体简体" w:cs="Times New Roman"/>
          <w:b w:val="0"/>
          <w:bCs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楷体简体" w:cs="Times New Roman"/>
          <w:b w:val="0"/>
          <w:bCs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楷体简体" w:cs="Times New Roman"/>
          <w:b w:val="0"/>
          <w:bCs w:val="0"/>
          <w:spacing w:val="-2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楷体简体" w:cs="Times New Roman"/>
          <w:b w:val="0"/>
          <w:bCs w:val="0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楷体简体" w:cs="Times New Roman"/>
          <w:b w:val="0"/>
          <w:bCs w:val="0"/>
          <w:spacing w:val="-20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楷体简体" w:cs="Times New Roman"/>
          <w:b w:val="0"/>
          <w:bCs w:val="0"/>
          <w:spacing w:val="-20"/>
          <w:sz w:val="32"/>
          <w:szCs w:val="32"/>
          <w:highlight w:val="none"/>
          <w:lang w:val="en-US" w:eastAsia="zh-CN"/>
        </w:rPr>
        <w:t>23</w:t>
      </w:r>
      <w:r>
        <w:rPr>
          <w:rFonts w:hint="default" w:ascii="Times New Roman" w:hAnsi="Times New Roman" w:eastAsia="方正楷体简体" w:cs="Times New Roman"/>
          <w:b w:val="0"/>
          <w:bCs w:val="0"/>
          <w:spacing w:val="-20"/>
          <w:sz w:val="32"/>
          <w:szCs w:val="32"/>
          <w:highlight w:val="none"/>
        </w:rPr>
        <w:t>日在明山区第</w:t>
      </w:r>
      <w:r>
        <w:rPr>
          <w:rFonts w:hint="eastAsia" w:ascii="Times New Roman" w:hAnsi="Times New Roman" w:eastAsia="方正楷体简体" w:cs="Times New Roman"/>
          <w:b w:val="0"/>
          <w:bCs w:val="0"/>
          <w:sz w:val="32"/>
          <w:szCs w:val="32"/>
          <w:highlight w:val="none"/>
          <w:lang w:val="en-US" w:eastAsia="zh-CN"/>
        </w:rPr>
        <w:t>十</w:t>
      </w:r>
      <w:r>
        <w:rPr>
          <w:rFonts w:hint="default" w:ascii="Times New Roman" w:hAnsi="Times New Roman" w:eastAsia="方正楷体简体" w:cs="Times New Roman"/>
          <w:b w:val="0"/>
          <w:bCs w:val="0"/>
          <w:spacing w:val="-20"/>
          <w:sz w:val="32"/>
          <w:szCs w:val="32"/>
          <w:highlight w:val="none"/>
        </w:rPr>
        <w:t>届人大常委会第</w:t>
      </w:r>
      <w:r>
        <w:rPr>
          <w:rFonts w:hint="eastAsia" w:ascii="Times New Roman" w:hAnsi="Times New Roman" w:eastAsia="方正楷体简体" w:cs="Times New Roman"/>
          <w:b w:val="0"/>
          <w:bCs w:val="0"/>
          <w:sz w:val="32"/>
          <w:szCs w:val="32"/>
          <w:highlight w:val="none"/>
          <w:lang w:val="en-US" w:eastAsia="zh-CN"/>
        </w:rPr>
        <w:t>四十</w:t>
      </w:r>
      <w:r>
        <w:rPr>
          <w:rFonts w:hint="default" w:ascii="Times New Roman" w:hAnsi="Times New Roman" w:eastAsia="方正楷体简体" w:cs="Times New Roman"/>
          <w:b w:val="0"/>
          <w:bCs w:val="0"/>
          <w:spacing w:val="-20"/>
          <w:sz w:val="32"/>
          <w:szCs w:val="32"/>
          <w:highlight w:val="none"/>
        </w:rPr>
        <w:t>次会议上</w:t>
      </w:r>
    </w:p>
    <w:p w14:paraId="6F1F0D0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方正楷体简体" w:cs="Times New Roman"/>
          <w:b w:val="0"/>
          <w:bCs w:val="0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方正楷体简体" w:cs="Times New Roman"/>
          <w:b w:val="0"/>
          <w:bCs w:val="0"/>
          <w:sz w:val="32"/>
          <w:szCs w:val="32"/>
          <w:highlight w:val="none"/>
          <w:shd w:val="clear"/>
        </w:rPr>
        <w:t xml:space="preserve"> 明山区财政局局长 </w:t>
      </w:r>
      <w:r>
        <w:rPr>
          <w:rFonts w:hint="default" w:ascii="Times New Roman" w:hAnsi="Times New Roman" w:eastAsia="方正楷体简体" w:cs="Times New Roman"/>
          <w:b w:val="0"/>
          <w:bCs w:val="0"/>
          <w:sz w:val="32"/>
          <w:szCs w:val="32"/>
          <w:highlight w:val="none"/>
          <w:shd w:val="clear"/>
          <w:lang w:val="en-US" w:eastAsia="zh-CN"/>
        </w:rPr>
        <w:t xml:space="preserve"> 丛宇</w:t>
      </w: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/>
        </w:rPr>
        <w:t xml:space="preserve"> </w:t>
      </w: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 xml:space="preserve">  </w:t>
      </w:r>
    </w:p>
    <w:p w14:paraId="566B76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72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bookmarkStart w:id="0" w:name="_GoBack"/>
      <w:bookmarkEnd w:id="0"/>
    </w:p>
    <w:p w14:paraId="05615BB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主任、各位副主任、各位委员：</w:t>
      </w:r>
    </w:p>
    <w:p w14:paraId="3E3AB2E4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根据《中华人民共和国预算法》有关规定，202</w:t>
      </w:r>
      <w:r>
        <w:rPr>
          <w:rFonts w:hint="eastAsia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年财政决算已经编制完成。</w:t>
      </w:r>
      <w:r>
        <w:rPr>
          <w:rFonts w:hint="eastAsia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现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受区人民政府委托，向本次人大常委会议作202</w:t>
      </w:r>
      <w:r>
        <w:rPr>
          <w:rFonts w:hint="eastAsia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年财政决算（草案）的报告，请予审议。</w:t>
      </w:r>
    </w:p>
    <w:p w14:paraId="24C2E6F2">
      <w:pPr>
        <w:keepNext w:val="0"/>
        <w:keepLines w:val="0"/>
        <w:pageBreakBefore w:val="0"/>
        <w:tabs>
          <w:tab w:val="left" w:pos="1320"/>
        </w:tabs>
        <w:kinsoku/>
        <w:wordWrap/>
        <w:overflowPunct/>
        <w:topLinePunct w:val="0"/>
        <w:autoSpaceDE/>
        <w:autoSpaceDN/>
        <w:bidi w:val="0"/>
        <w:spacing w:line="600" w:lineRule="exact"/>
        <w:ind w:firstLine="720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一、关于</w:t>
      </w:r>
      <w:r>
        <w:rPr>
          <w:rFonts w:hint="default" w:ascii="Times New Roman" w:hAnsi="Times New Roman" w:eastAsia="方正黑体简体" w:cs="Times New Roman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方正黑体简体" w:cs="Times New Roman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黑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年财政收支决算</w:t>
      </w:r>
    </w:p>
    <w:p w14:paraId="6B5905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707" w:firstLineChars="221"/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年，在区委的领导下，全区以习近平新时代中国特色社会主义思想为指导，全面贯彻落实党的二十大和二十届</w:t>
      </w:r>
      <w:r>
        <w:rPr>
          <w:rFonts w:hint="eastAsia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历次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全会精神，</w:t>
      </w:r>
      <w:r>
        <w:rPr>
          <w:rFonts w:hint="eastAsia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认真学习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贯彻习近平总书记对辽宁振兴发展的重要讲话和重要指示精神，</w:t>
      </w:r>
      <w:r>
        <w:rPr>
          <w:rFonts w:hint="eastAsia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坚持稳中求进的工作总基调，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严格执行区十届人大</w:t>
      </w:r>
      <w:r>
        <w:rPr>
          <w:rFonts w:hint="eastAsia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五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次会议</w:t>
      </w:r>
      <w:r>
        <w:rPr>
          <w:rFonts w:hint="eastAsia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以及常委会议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审查批准的预算，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加大财政资源和预算统筹，优化财政支出结构，提高资金使用效益和政策效能，强化基本民生财力保障，有效防范化解系统性风险，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财政运行总体平稳，预算执行情况较好。</w:t>
      </w:r>
    </w:p>
    <w:p w14:paraId="4B02B0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707" w:firstLineChars="221"/>
        <w:rPr>
          <w:rFonts w:hint="default" w:ascii="Times New Roman" w:hAnsi="Times New Roman" w:eastAsia="方正楷体简体" w:cs="Times New Roman"/>
          <w:b w:val="0"/>
          <w:bCs w:val="0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（一）一般公共预算执行情况</w:t>
      </w:r>
    </w:p>
    <w:p w14:paraId="121E18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710" w:firstLineChars="221"/>
        <w:rPr>
          <w:rFonts w:hint="default" w:ascii="Times New Roman" w:hAnsi="Times New Roman" w:eastAsia="方正楷体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1.一般公共预算收入情况</w:t>
      </w:r>
    </w:p>
    <w:p w14:paraId="74B1B3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default"/>
          <w:color w:val="auto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年，全区一般公共预算收入完成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168258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万元，为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调整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预算的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101.3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%，同比增长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65.4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%。其中：税收收入完成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126384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万元，同比增长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55.5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%；非税收入完成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41874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万元，同比增长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104.5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%。</w:t>
      </w:r>
    </w:p>
    <w:p w14:paraId="5E8265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年全区一般公共预算收入主要项目完成情况表</w:t>
      </w:r>
    </w:p>
    <w:p w14:paraId="18D8B8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auto"/>
          <w:sz w:val="18"/>
          <w:szCs w:val="18"/>
          <w:shd w:val="clear" w:color="auto" w:fill="auto"/>
        </w:rPr>
        <w:t xml:space="preserve">                         </w:t>
      </w:r>
      <w:r>
        <w:rPr>
          <w:rFonts w:hint="eastAsia" w:eastAsia="黑体" w:cs="Times New Roman"/>
          <w:color w:val="auto"/>
          <w:sz w:val="18"/>
          <w:szCs w:val="18"/>
          <w:shd w:val="clear" w:color="auto" w:fill="auto"/>
          <w:lang w:val="en-US" w:eastAsia="zh-CN"/>
        </w:rPr>
        <w:t xml:space="preserve">      </w:t>
      </w:r>
      <w:r>
        <w:rPr>
          <w:rFonts w:hint="default" w:ascii="Times New Roman" w:hAnsi="Times New Roman" w:eastAsia="黑体" w:cs="Times New Roman"/>
          <w:color w:val="auto"/>
          <w:sz w:val="18"/>
          <w:szCs w:val="18"/>
          <w:shd w:val="clear" w:color="auto" w:fill="auto"/>
        </w:rPr>
        <w:t xml:space="preserve">                                                        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shd w:val="clear" w:color="auto" w:fill="auto"/>
          <w:lang w:val="en-US" w:eastAsia="zh-CN" w:bidi="ar"/>
        </w:rPr>
        <w:t>单位：万元</w:t>
      </w:r>
    </w:p>
    <w:tbl>
      <w:tblPr>
        <w:tblStyle w:val="10"/>
        <w:tblpPr w:leftFromText="180" w:rightFromText="180" w:vertAnchor="text" w:horzAnchor="page" w:tblpX="1636" w:tblpY="50"/>
        <w:tblOverlap w:val="never"/>
        <w:tblW w:w="893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33"/>
        <w:gridCol w:w="837"/>
        <w:gridCol w:w="888"/>
        <w:gridCol w:w="875"/>
        <w:gridCol w:w="4605"/>
      </w:tblGrid>
      <w:tr w14:paraId="2451E1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1" w:hRule="exac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F2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shd w:val="clear" w:color="auto" w:fill="auto"/>
              </w:rPr>
              <w:t>科目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8C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shd w:val="clear" w:color="auto" w:fill="auto"/>
              </w:rPr>
              <w:t>完成额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03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shd w:val="clear" w:color="auto" w:fill="auto"/>
              </w:rPr>
              <w:t>上年同期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4D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shd w:val="clear" w:color="auto" w:fill="auto"/>
              </w:rPr>
              <w:t>增减%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09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shd w:val="clear" w:color="auto" w:fill="auto"/>
              </w:rPr>
              <w:t>影响增减的主要因素</w:t>
            </w:r>
          </w:p>
        </w:tc>
      </w:tr>
      <w:tr w14:paraId="7FBF42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exac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9A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  <w:t>增值税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2D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54282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AA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28320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6C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91.7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02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当年</w:t>
            </w: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本溪银行等</w:t>
            </w: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新下放企业入库数额较大</w:t>
            </w:r>
          </w:p>
        </w:tc>
      </w:tr>
      <w:tr w14:paraId="62313E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exac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23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  <w:t>企业所得税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C9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20603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40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18932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8F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/>
                <w:color w:val="auto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8.8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0E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当年龙山泉、瑞凯物流、三家子矿业缴纳数额较大</w:t>
            </w:r>
          </w:p>
        </w:tc>
      </w:tr>
      <w:tr w14:paraId="796DAF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exac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1A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  <w:t>房产税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D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5411</w:t>
            </w:r>
          </w:p>
          <w:p w14:paraId="0D176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C1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2600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7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108.1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E2A3C">
            <w:pPr>
              <w:keepNext w:val="0"/>
              <w:keepLines w:val="0"/>
              <w:pageBreakBefore w:val="0"/>
              <w:widowControl/>
              <w:tabs>
                <w:tab w:val="left" w:pos="8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当年新下放企业入库数额较大</w:t>
            </w:r>
          </w:p>
        </w:tc>
      </w:tr>
      <w:tr w14:paraId="54DF64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exac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B9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eastAsia="zh-CN" w:bidi="ar"/>
              </w:rPr>
              <w:t>个人所得</w:t>
            </w: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  <w:t>税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DE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7455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89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7130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87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4.6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B6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当年龙山泉、本溪矿业缴纳数额较大</w:t>
            </w:r>
          </w:p>
        </w:tc>
      </w:tr>
      <w:tr w14:paraId="63C242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exac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18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  <w:t>耕地占用税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EC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1648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9D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4626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44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-64.4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B4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上年三家子缴纳数额较大</w:t>
            </w:r>
          </w:p>
        </w:tc>
      </w:tr>
      <w:tr w14:paraId="57610D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exac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41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  <w:t>契税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8C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8249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AB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5641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A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46.2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37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当年新下放企业农信社资产重组入库数额较大</w:t>
            </w:r>
          </w:p>
        </w:tc>
      </w:tr>
      <w:tr w14:paraId="677ED3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" w:hRule="exac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22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  <w:t>罚没收入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30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3564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9E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4205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E1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/>
                <w:color w:val="auto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-15.2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2D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上年纪委缴纳罚没款数额较大</w:t>
            </w:r>
          </w:p>
        </w:tc>
      </w:tr>
      <w:tr w14:paraId="211B82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exac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AA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shd w:val="clear" w:color="auto" w:fill="auto"/>
                <w:lang w:bidi="ar"/>
              </w:rPr>
              <w:t>国有资产使用收入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F5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27276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40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12351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51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120.8</w:t>
            </w:r>
          </w:p>
        </w:tc>
        <w:tc>
          <w:tcPr>
            <w:tcW w:w="4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76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当年</w:t>
            </w: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民俗文化街等</w:t>
            </w: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经营权转让</w:t>
            </w: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数额</w:t>
            </w: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较大</w:t>
            </w:r>
          </w:p>
        </w:tc>
      </w:tr>
    </w:tbl>
    <w:p w14:paraId="458B73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2.一般公共预算支出情况</w:t>
      </w:r>
    </w:p>
    <w:p w14:paraId="1EDB6A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年，全区一般公共预算支出完成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123108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万元，为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调整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预算的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107.9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%（执行中包括上级专项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27098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万元），同比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下降11.9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%。主要是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上年化解隐性债务及消化暂付款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支出较大。</w:t>
      </w:r>
    </w:p>
    <w:p w14:paraId="552C2B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年全区一般公共预算主要支出项目完成情况表</w:t>
      </w:r>
    </w:p>
    <w:p w14:paraId="303ABC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7770" w:firstLineChars="3700"/>
        <w:textAlignment w:val="center"/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shd w:val="clear" w:color="auto" w:fill="auto"/>
          <w:lang w:eastAsia="zh-CN" w:bidi="ar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shd w:val="clear" w:color="auto" w:fill="auto"/>
          <w:lang w:val="en-US" w:eastAsia="zh-CN" w:bidi="ar"/>
        </w:rPr>
        <w:t>单位：万元</w:t>
      </w:r>
    </w:p>
    <w:tbl>
      <w:tblPr>
        <w:tblStyle w:val="10"/>
        <w:tblpPr w:leftFromText="180" w:rightFromText="180" w:vertAnchor="text" w:horzAnchor="page" w:tblpX="1636" w:tblpY="50"/>
        <w:tblOverlap w:val="never"/>
        <w:tblW w:w="894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11"/>
        <w:gridCol w:w="897"/>
        <w:gridCol w:w="962"/>
        <w:gridCol w:w="990"/>
        <w:gridCol w:w="3689"/>
      </w:tblGrid>
      <w:tr w14:paraId="3619D8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exact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857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科目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07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完成额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9E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上年同期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61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增减%</w:t>
            </w: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BE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影响增减的主要因素</w:t>
            </w:r>
          </w:p>
        </w:tc>
      </w:tr>
      <w:tr w14:paraId="17107B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exact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0E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一般公共服务支出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88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26111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27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15554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8A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67.9</w:t>
            </w: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CF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当年本钢基建大院改造项目支出较大</w:t>
            </w:r>
          </w:p>
        </w:tc>
      </w:tr>
      <w:tr w14:paraId="40E84A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 w:hRule="exact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31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教育支出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86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13988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7D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13966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C4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0.2</w:t>
            </w: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76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与上年基本持平</w:t>
            </w:r>
          </w:p>
        </w:tc>
      </w:tr>
      <w:tr w14:paraId="6393CB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1" w:hRule="exact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94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自然资源海洋气象等支出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E8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401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33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7884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A9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-94.9</w:t>
            </w: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DC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上年抽水蓄能耕地占用补偿款支出较大</w:t>
            </w:r>
          </w:p>
        </w:tc>
      </w:tr>
      <w:tr w14:paraId="552875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exact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55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社会保障和就业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57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26061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9C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27361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8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-4.8</w:t>
            </w: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2A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上年上级专项支出较大</w:t>
            </w:r>
          </w:p>
        </w:tc>
      </w:tr>
      <w:tr w14:paraId="6823B8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exact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D5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卫生健康支出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76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10057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C3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10186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F0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-1.2</w:t>
            </w: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AC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与上年基本持平</w:t>
            </w:r>
          </w:p>
        </w:tc>
      </w:tr>
      <w:tr w14:paraId="13CD3F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exact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F5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城乡社区支出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9E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9845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58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13238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6F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-25.6</w:t>
            </w: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5E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上年燃气更新改造支出较大</w:t>
            </w:r>
          </w:p>
        </w:tc>
      </w:tr>
      <w:tr w14:paraId="66FA04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exact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81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资源勘探信息等事务</w:t>
            </w: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支出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FA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250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8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7424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0D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-96.6</w:t>
            </w: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17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上年支持食品工业高质量发展支出较大</w:t>
            </w:r>
          </w:p>
        </w:tc>
      </w:tr>
      <w:tr w14:paraId="05E57F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6" w:hRule="exact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78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bidi="ar"/>
              </w:rPr>
              <w:t>住房保障支出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2E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21521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00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30934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70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-30.4</w:t>
            </w: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44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上年</w:t>
            </w:r>
            <w:r>
              <w:rPr>
                <w:rFonts w:hint="eastAsia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"/>
              </w:rPr>
              <w:t>棚改项目</w:t>
            </w: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eastAsia="zh-CN" w:bidi="ar"/>
              </w:rPr>
              <w:t>支出较大</w:t>
            </w:r>
          </w:p>
        </w:tc>
      </w:tr>
    </w:tbl>
    <w:p w14:paraId="3F47E6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3.收支平衡情况</w:t>
      </w:r>
    </w:p>
    <w:p w14:paraId="1EAF94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年，全区一般公共预算收入完成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168258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万元，上级补助收入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67116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万元，上年结余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11879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万元，动用预算稳定调节基金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15870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万元，调入资金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734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万元，债务转贷收入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430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万元，收入总计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264287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万元。一般公共预算支出完成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123108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万元，上解支出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123769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调出资金1455万元，待偿债再融资一般债券结余430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万元，年终结余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15525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万元，支出总计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264287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万元，实现收支平衡。</w:t>
      </w:r>
    </w:p>
    <w:p w14:paraId="54634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年全区一般公共预算收支平衡情况表</w:t>
      </w:r>
    </w:p>
    <w:p w14:paraId="5EADA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7560" w:firstLineChars="3600"/>
        <w:jc w:val="left"/>
        <w:textAlignment w:val="auto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>单位：万元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3"/>
        <w:gridCol w:w="1320"/>
        <w:gridCol w:w="2798"/>
        <w:gridCol w:w="1618"/>
      </w:tblGrid>
      <w:tr w14:paraId="28273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  <w:jc w:val="center"/>
        </w:trPr>
        <w:tc>
          <w:tcPr>
            <w:tcW w:w="2583" w:type="dxa"/>
            <w:noWrap w:val="0"/>
            <w:vAlign w:val="center"/>
          </w:tcPr>
          <w:p w14:paraId="7D946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收入</w:t>
            </w:r>
          </w:p>
        </w:tc>
        <w:tc>
          <w:tcPr>
            <w:tcW w:w="1320" w:type="dxa"/>
            <w:noWrap w:val="0"/>
            <w:vAlign w:val="center"/>
          </w:tcPr>
          <w:p w14:paraId="5476F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数额</w:t>
            </w:r>
          </w:p>
        </w:tc>
        <w:tc>
          <w:tcPr>
            <w:tcW w:w="2798" w:type="dxa"/>
            <w:noWrap w:val="0"/>
            <w:vAlign w:val="center"/>
          </w:tcPr>
          <w:p w14:paraId="34EDF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支出</w:t>
            </w:r>
          </w:p>
        </w:tc>
        <w:tc>
          <w:tcPr>
            <w:tcW w:w="1618" w:type="dxa"/>
            <w:noWrap w:val="0"/>
            <w:vAlign w:val="center"/>
          </w:tcPr>
          <w:p w14:paraId="1072C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数额</w:t>
            </w:r>
          </w:p>
        </w:tc>
      </w:tr>
      <w:tr w14:paraId="166B5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  <w:jc w:val="center"/>
        </w:trPr>
        <w:tc>
          <w:tcPr>
            <w:tcW w:w="2583" w:type="dxa"/>
            <w:noWrap w:val="0"/>
            <w:vAlign w:val="center"/>
          </w:tcPr>
          <w:p w14:paraId="60642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一般公共预算收入</w:t>
            </w:r>
          </w:p>
        </w:tc>
        <w:tc>
          <w:tcPr>
            <w:tcW w:w="1320" w:type="dxa"/>
            <w:noWrap w:val="0"/>
            <w:vAlign w:val="center"/>
          </w:tcPr>
          <w:p w14:paraId="7D80A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168258</w:t>
            </w:r>
          </w:p>
        </w:tc>
        <w:tc>
          <w:tcPr>
            <w:tcW w:w="2798" w:type="dxa"/>
            <w:noWrap w:val="0"/>
            <w:vAlign w:val="center"/>
          </w:tcPr>
          <w:p w14:paraId="41BE4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一般公共预算支出</w:t>
            </w:r>
          </w:p>
        </w:tc>
        <w:tc>
          <w:tcPr>
            <w:tcW w:w="1618" w:type="dxa"/>
            <w:noWrap w:val="0"/>
            <w:vAlign w:val="center"/>
          </w:tcPr>
          <w:p w14:paraId="0C684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123108</w:t>
            </w:r>
          </w:p>
        </w:tc>
      </w:tr>
      <w:tr w14:paraId="19421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2583" w:type="dxa"/>
            <w:noWrap w:val="0"/>
            <w:vAlign w:val="center"/>
          </w:tcPr>
          <w:p w14:paraId="00F90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上级补助收入</w:t>
            </w:r>
          </w:p>
        </w:tc>
        <w:tc>
          <w:tcPr>
            <w:tcW w:w="1320" w:type="dxa"/>
            <w:noWrap w:val="0"/>
            <w:vAlign w:val="center"/>
          </w:tcPr>
          <w:p w14:paraId="0B513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10" w:firstLineChars="100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67116</w:t>
            </w:r>
          </w:p>
        </w:tc>
        <w:tc>
          <w:tcPr>
            <w:tcW w:w="2798" w:type="dxa"/>
            <w:noWrap w:val="0"/>
            <w:vAlign w:val="center"/>
          </w:tcPr>
          <w:p w14:paraId="79018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上解支出</w:t>
            </w:r>
          </w:p>
        </w:tc>
        <w:tc>
          <w:tcPr>
            <w:tcW w:w="1618" w:type="dxa"/>
            <w:noWrap w:val="0"/>
            <w:vAlign w:val="center"/>
          </w:tcPr>
          <w:p w14:paraId="78DE3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123769</w:t>
            </w:r>
          </w:p>
        </w:tc>
      </w:tr>
      <w:tr w14:paraId="427EE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exact"/>
          <w:jc w:val="center"/>
        </w:trPr>
        <w:tc>
          <w:tcPr>
            <w:tcW w:w="2583" w:type="dxa"/>
            <w:noWrap w:val="0"/>
            <w:vAlign w:val="center"/>
          </w:tcPr>
          <w:p w14:paraId="38D33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上年结余</w:t>
            </w:r>
          </w:p>
        </w:tc>
        <w:tc>
          <w:tcPr>
            <w:tcW w:w="1320" w:type="dxa"/>
            <w:noWrap w:val="0"/>
            <w:vAlign w:val="center"/>
          </w:tcPr>
          <w:p w14:paraId="4E199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11879</w:t>
            </w:r>
          </w:p>
        </w:tc>
        <w:tc>
          <w:tcPr>
            <w:tcW w:w="2798" w:type="dxa"/>
            <w:noWrap w:val="0"/>
            <w:vAlign w:val="center"/>
          </w:tcPr>
          <w:p w14:paraId="3A00D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调出资金</w:t>
            </w:r>
          </w:p>
        </w:tc>
        <w:tc>
          <w:tcPr>
            <w:tcW w:w="1618" w:type="dxa"/>
            <w:noWrap w:val="0"/>
            <w:vAlign w:val="center"/>
          </w:tcPr>
          <w:p w14:paraId="29432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1455</w:t>
            </w:r>
          </w:p>
        </w:tc>
      </w:tr>
      <w:tr w14:paraId="35041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exact"/>
          <w:jc w:val="center"/>
        </w:trPr>
        <w:tc>
          <w:tcPr>
            <w:tcW w:w="2583" w:type="dxa"/>
            <w:noWrap w:val="0"/>
            <w:vAlign w:val="center"/>
          </w:tcPr>
          <w:p w14:paraId="4FA57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动用预算稳定调节基金</w:t>
            </w:r>
          </w:p>
        </w:tc>
        <w:tc>
          <w:tcPr>
            <w:tcW w:w="1320" w:type="dxa"/>
            <w:noWrap w:val="0"/>
            <w:vAlign w:val="center"/>
          </w:tcPr>
          <w:p w14:paraId="58E9A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15870</w:t>
            </w:r>
          </w:p>
        </w:tc>
        <w:tc>
          <w:tcPr>
            <w:tcW w:w="2798" w:type="dxa"/>
            <w:shd w:val="clear" w:color="auto" w:fill="auto"/>
            <w:noWrap w:val="0"/>
            <w:vAlign w:val="center"/>
          </w:tcPr>
          <w:p w14:paraId="43C47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  <w:t>待偿债再融资一般债券结余</w:t>
            </w:r>
          </w:p>
        </w:tc>
        <w:tc>
          <w:tcPr>
            <w:tcW w:w="1618" w:type="dxa"/>
            <w:shd w:val="clear" w:color="auto" w:fill="auto"/>
            <w:noWrap w:val="0"/>
            <w:vAlign w:val="center"/>
          </w:tcPr>
          <w:p w14:paraId="1B680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  <w:t>430</w:t>
            </w:r>
          </w:p>
        </w:tc>
      </w:tr>
      <w:tr w14:paraId="24128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2583" w:type="dxa"/>
            <w:noWrap w:val="0"/>
            <w:vAlign w:val="center"/>
          </w:tcPr>
          <w:p w14:paraId="63740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调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入资金</w:t>
            </w:r>
          </w:p>
        </w:tc>
        <w:tc>
          <w:tcPr>
            <w:tcW w:w="1320" w:type="dxa"/>
            <w:noWrap w:val="0"/>
            <w:vAlign w:val="center"/>
          </w:tcPr>
          <w:p w14:paraId="372D6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734</w:t>
            </w:r>
          </w:p>
        </w:tc>
        <w:tc>
          <w:tcPr>
            <w:tcW w:w="2798" w:type="dxa"/>
            <w:shd w:val="clear" w:color="auto" w:fill="auto"/>
            <w:noWrap w:val="0"/>
            <w:vAlign w:val="center"/>
          </w:tcPr>
          <w:p w14:paraId="44EDB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年终结余</w:t>
            </w:r>
          </w:p>
        </w:tc>
        <w:tc>
          <w:tcPr>
            <w:tcW w:w="1618" w:type="dxa"/>
            <w:shd w:val="clear" w:color="auto" w:fill="auto"/>
            <w:noWrap w:val="0"/>
            <w:vAlign w:val="center"/>
          </w:tcPr>
          <w:p w14:paraId="5C10C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15525</w:t>
            </w:r>
          </w:p>
        </w:tc>
      </w:tr>
      <w:tr w14:paraId="63B43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2583" w:type="dxa"/>
            <w:noWrap w:val="0"/>
            <w:vAlign w:val="center"/>
          </w:tcPr>
          <w:p w14:paraId="2AB2C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债务转贷收入</w:t>
            </w:r>
          </w:p>
        </w:tc>
        <w:tc>
          <w:tcPr>
            <w:tcW w:w="1320" w:type="dxa"/>
            <w:noWrap w:val="0"/>
            <w:vAlign w:val="center"/>
          </w:tcPr>
          <w:p w14:paraId="796AF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430</w:t>
            </w:r>
          </w:p>
        </w:tc>
        <w:tc>
          <w:tcPr>
            <w:tcW w:w="2798" w:type="dxa"/>
            <w:noWrap w:val="0"/>
            <w:vAlign w:val="center"/>
          </w:tcPr>
          <w:p w14:paraId="79E08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618" w:type="dxa"/>
            <w:noWrap w:val="0"/>
            <w:vAlign w:val="center"/>
          </w:tcPr>
          <w:p w14:paraId="235AB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</w:p>
        </w:tc>
      </w:tr>
      <w:tr w14:paraId="009AF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  <w:jc w:val="center"/>
        </w:trPr>
        <w:tc>
          <w:tcPr>
            <w:tcW w:w="2583" w:type="dxa"/>
            <w:shd w:val="clear" w:color="auto" w:fill="auto"/>
            <w:noWrap w:val="0"/>
            <w:vAlign w:val="center"/>
          </w:tcPr>
          <w:p w14:paraId="5644C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收入总计</w:t>
            </w:r>
          </w:p>
        </w:tc>
        <w:tc>
          <w:tcPr>
            <w:tcW w:w="1320" w:type="dxa"/>
            <w:shd w:val="clear" w:color="auto" w:fill="auto"/>
            <w:noWrap w:val="0"/>
            <w:vAlign w:val="center"/>
          </w:tcPr>
          <w:p w14:paraId="07886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264287</w:t>
            </w:r>
          </w:p>
        </w:tc>
        <w:tc>
          <w:tcPr>
            <w:tcW w:w="2798" w:type="dxa"/>
            <w:shd w:val="clear" w:color="auto" w:fill="auto"/>
            <w:noWrap w:val="0"/>
            <w:vAlign w:val="center"/>
          </w:tcPr>
          <w:p w14:paraId="5F0BA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支出总计</w:t>
            </w:r>
          </w:p>
        </w:tc>
        <w:tc>
          <w:tcPr>
            <w:tcW w:w="1618" w:type="dxa"/>
            <w:shd w:val="clear" w:color="auto" w:fill="auto"/>
            <w:noWrap w:val="0"/>
            <w:vAlign w:val="center"/>
          </w:tcPr>
          <w:p w14:paraId="7B2EA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264287</w:t>
            </w:r>
          </w:p>
        </w:tc>
      </w:tr>
    </w:tbl>
    <w:p w14:paraId="274DDB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（二）政府性基金预算执行情况</w:t>
      </w:r>
    </w:p>
    <w:p w14:paraId="25DA18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1.政府性基金收支情况</w:t>
      </w:r>
    </w:p>
    <w:p w14:paraId="767AC6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年，全区政府性基金收入完成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163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万元，为预算的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0.8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%，同比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下降92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%。全区政府性基金支出完成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9606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万元，为预算的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44.1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%，同比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上升189.8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%。</w:t>
      </w:r>
    </w:p>
    <w:p w14:paraId="1BF214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2.政府性基金收支平衡情况</w:t>
      </w:r>
    </w:p>
    <w:p w14:paraId="14E6E6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年，全区政府性基金收入完成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163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万元，上级补助收入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2172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万元，债务转贷收入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21000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万元，上年结余收入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1410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调入资金1455万元，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收入总计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26200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万元。全区政府性基金支出完成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9606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万元，调出资金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734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万元，年终结余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15860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万元，支出总计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26200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万元，实现收支平衡。</w:t>
      </w:r>
    </w:p>
    <w:p w14:paraId="0D65FA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年全区政府性基金收支平衡情况表</w:t>
      </w:r>
    </w:p>
    <w:p w14:paraId="60E7E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7770" w:firstLineChars="3700"/>
        <w:jc w:val="left"/>
        <w:textAlignment w:val="auto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>单位：万元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8"/>
        <w:gridCol w:w="1110"/>
        <w:gridCol w:w="3126"/>
        <w:gridCol w:w="1452"/>
      </w:tblGrid>
      <w:tr w14:paraId="78F9A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2988" w:type="dxa"/>
            <w:noWrap w:val="0"/>
            <w:vAlign w:val="center"/>
          </w:tcPr>
          <w:p w14:paraId="7B801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收入</w:t>
            </w:r>
          </w:p>
        </w:tc>
        <w:tc>
          <w:tcPr>
            <w:tcW w:w="1110" w:type="dxa"/>
            <w:noWrap w:val="0"/>
            <w:vAlign w:val="center"/>
          </w:tcPr>
          <w:p w14:paraId="23FD6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数额</w:t>
            </w:r>
          </w:p>
        </w:tc>
        <w:tc>
          <w:tcPr>
            <w:tcW w:w="3126" w:type="dxa"/>
            <w:noWrap w:val="0"/>
            <w:vAlign w:val="center"/>
          </w:tcPr>
          <w:p w14:paraId="42604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支出</w:t>
            </w:r>
          </w:p>
        </w:tc>
        <w:tc>
          <w:tcPr>
            <w:tcW w:w="1452" w:type="dxa"/>
            <w:noWrap w:val="0"/>
            <w:vAlign w:val="center"/>
          </w:tcPr>
          <w:p w14:paraId="355CF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数额</w:t>
            </w:r>
          </w:p>
        </w:tc>
      </w:tr>
      <w:tr w14:paraId="6E15C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2988" w:type="dxa"/>
            <w:noWrap w:val="0"/>
            <w:vAlign w:val="center"/>
          </w:tcPr>
          <w:p w14:paraId="047E0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政府性基金收入</w:t>
            </w:r>
          </w:p>
        </w:tc>
        <w:tc>
          <w:tcPr>
            <w:tcW w:w="1110" w:type="dxa"/>
            <w:noWrap w:val="0"/>
            <w:vAlign w:val="center"/>
          </w:tcPr>
          <w:p w14:paraId="7BF17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163</w:t>
            </w:r>
          </w:p>
        </w:tc>
        <w:tc>
          <w:tcPr>
            <w:tcW w:w="3126" w:type="dxa"/>
            <w:noWrap w:val="0"/>
            <w:vAlign w:val="center"/>
          </w:tcPr>
          <w:p w14:paraId="0BA80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政府性基金支出</w:t>
            </w:r>
          </w:p>
        </w:tc>
        <w:tc>
          <w:tcPr>
            <w:tcW w:w="1452" w:type="dxa"/>
            <w:noWrap w:val="0"/>
            <w:vAlign w:val="center"/>
          </w:tcPr>
          <w:p w14:paraId="788C7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9606</w:t>
            </w:r>
          </w:p>
        </w:tc>
      </w:tr>
      <w:tr w14:paraId="0568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2988" w:type="dxa"/>
            <w:noWrap w:val="0"/>
            <w:vAlign w:val="center"/>
          </w:tcPr>
          <w:p w14:paraId="2C0BA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上级补助收入</w:t>
            </w:r>
          </w:p>
        </w:tc>
        <w:tc>
          <w:tcPr>
            <w:tcW w:w="1110" w:type="dxa"/>
            <w:noWrap w:val="0"/>
            <w:vAlign w:val="center"/>
          </w:tcPr>
          <w:p w14:paraId="78813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2172</w:t>
            </w:r>
          </w:p>
        </w:tc>
        <w:tc>
          <w:tcPr>
            <w:tcW w:w="3126" w:type="dxa"/>
            <w:noWrap w:val="0"/>
            <w:vAlign w:val="center"/>
          </w:tcPr>
          <w:p w14:paraId="4F6EB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债务还本支出</w:t>
            </w:r>
          </w:p>
        </w:tc>
        <w:tc>
          <w:tcPr>
            <w:tcW w:w="1452" w:type="dxa"/>
            <w:noWrap w:val="0"/>
            <w:vAlign w:val="center"/>
          </w:tcPr>
          <w:p w14:paraId="41403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 w:val="0"/>
                <w:bCs w:val="0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</w:tr>
      <w:tr w14:paraId="30FA3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  <w:jc w:val="center"/>
        </w:trPr>
        <w:tc>
          <w:tcPr>
            <w:tcW w:w="2988" w:type="dxa"/>
            <w:noWrap w:val="0"/>
            <w:vAlign w:val="center"/>
          </w:tcPr>
          <w:p w14:paraId="282CA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债务转贷收入</w:t>
            </w:r>
          </w:p>
        </w:tc>
        <w:tc>
          <w:tcPr>
            <w:tcW w:w="1110" w:type="dxa"/>
            <w:noWrap w:val="0"/>
            <w:vAlign w:val="center"/>
          </w:tcPr>
          <w:p w14:paraId="0FD22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21000</w:t>
            </w:r>
          </w:p>
        </w:tc>
        <w:tc>
          <w:tcPr>
            <w:tcW w:w="3126" w:type="dxa"/>
            <w:noWrap w:val="0"/>
            <w:vAlign w:val="center"/>
          </w:tcPr>
          <w:p w14:paraId="06118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上解支出</w:t>
            </w:r>
          </w:p>
        </w:tc>
        <w:tc>
          <w:tcPr>
            <w:tcW w:w="1452" w:type="dxa"/>
            <w:noWrap w:val="0"/>
            <w:vAlign w:val="center"/>
          </w:tcPr>
          <w:p w14:paraId="6F1C5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</w:tr>
      <w:tr w14:paraId="7A3B3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2988" w:type="dxa"/>
            <w:noWrap w:val="0"/>
            <w:vAlign w:val="center"/>
          </w:tcPr>
          <w:p w14:paraId="0B56D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上年结余收入</w:t>
            </w:r>
          </w:p>
        </w:tc>
        <w:tc>
          <w:tcPr>
            <w:tcW w:w="1110" w:type="dxa"/>
            <w:noWrap w:val="0"/>
            <w:vAlign w:val="center"/>
          </w:tcPr>
          <w:p w14:paraId="206EB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1410</w:t>
            </w:r>
          </w:p>
        </w:tc>
        <w:tc>
          <w:tcPr>
            <w:tcW w:w="3126" w:type="dxa"/>
            <w:noWrap w:val="0"/>
            <w:vAlign w:val="center"/>
          </w:tcPr>
          <w:p w14:paraId="53EAC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调出资金</w:t>
            </w:r>
          </w:p>
        </w:tc>
        <w:tc>
          <w:tcPr>
            <w:tcW w:w="1452" w:type="dxa"/>
            <w:noWrap w:val="0"/>
            <w:vAlign w:val="center"/>
          </w:tcPr>
          <w:p w14:paraId="3393E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  <w:t>734</w:t>
            </w:r>
          </w:p>
        </w:tc>
      </w:tr>
      <w:tr w14:paraId="288C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2988" w:type="dxa"/>
            <w:noWrap w:val="0"/>
            <w:vAlign w:val="center"/>
          </w:tcPr>
          <w:p w14:paraId="16F36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调入资金</w:t>
            </w:r>
          </w:p>
        </w:tc>
        <w:tc>
          <w:tcPr>
            <w:tcW w:w="1110" w:type="dxa"/>
            <w:noWrap w:val="0"/>
            <w:vAlign w:val="center"/>
          </w:tcPr>
          <w:p w14:paraId="300A3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1455</w:t>
            </w:r>
          </w:p>
        </w:tc>
        <w:tc>
          <w:tcPr>
            <w:tcW w:w="3126" w:type="dxa"/>
            <w:noWrap w:val="0"/>
            <w:vAlign w:val="center"/>
          </w:tcPr>
          <w:p w14:paraId="1EB99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年终结余</w:t>
            </w:r>
          </w:p>
        </w:tc>
        <w:tc>
          <w:tcPr>
            <w:tcW w:w="1452" w:type="dxa"/>
            <w:noWrap w:val="0"/>
            <w:vAlign w:val="center"/>
          </w:tcPr>
          <w:p w14:paraId="3B1AC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15860</w:t>
            </w:r>
          </w:p>
        </w:tc>
      </w:tr>
      <w:tr w14:paraId="78DFF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exact"/>
          <w:jc w:val="center"/>
        </w:trPr>
        <w:tc>
          <w:tcPr>
            <w:tcW w:w="2988" w:type="dxa"/>
            <w:noWrap w:val="0"/>
            <w:vAlign w:val="center"/>
          </w:tcPr>
          <w:p w14:paraId="76F62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收入总计</w:t>
            </w:r>
          </w:p>
        </w:tc>
        <w:tc>
          <w:tcPr>
            <w:tcW w:w="1110" w:type="dxa"/>
            <w:noWrap w:val="0"/>
            <w:vAlign w:val="center"/>
          </w:tcPr>
          <w:p w14:paraId="3A06B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  <w:t>26200</w:t>
            </w:r>
          </w:p>
        </w:tc>
        <w:tc>
          <w:tcPr>
            <w:tcW w:w="3126" w:type="dxa"/>
            <w:noWrap w:val="0"/>
            <w:vAlign w:val="center"/>
          </w:tcPr>
          <w:p w14:paraId="2F562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支出总计</w:t>
            </w:r>
          </w:p>
        </w:tc>
        <w:tc>
          <w:tcPr>
            <w:tcW w:w="1452" w:type="dxa"/>
            <w:noWrap w:val="0"/>
            <w:vAlign w:val="center"/>
          </w:tcPr>
          <w:p w14:paraId="5B101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26200</w:t>
            </w:r>
          </w:p>
        </w:tc>
      </w:tr>
    </w:tbl>
    <w:p w14:paraId="7B9831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707" w:firstLineChars="221"/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（三）社会保险基金预算执行情况</w:t>
      </w:r>
    </w:p>
    <w:p w14:paraId="025B5F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1.社会保险基金收支情况</w:t>
      </w:r>
    </w:p>
    <w:p w14:paraId="0328FC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15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yellow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年，全区社会保险基金收入完成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4475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万元，为预算的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101.7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%，同比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增长4.8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%。社会保险基金支出完成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10913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万元，为预算的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105.5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%，同比增长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5.6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%。</w:t>
      </w:r>
    </w:p>
    <w:p w14:paraId="6C30B5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2.社会保险基金收支平衡情况</w:t>
      </w:r>
    </w:p>
    <w:p w14:paraId="4ACEE0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15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年，全区社会保险基金收入完成4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475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万元，财政补贴收入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6247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万元，转移收入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445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万元，利息收入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万元，上年结余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34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其他收入2万元，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收入总计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11204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万元。全区社会保险基金支出完成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10913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万元，转移支出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273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万元，滚存结余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万元，支出总计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11204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万元，实现收支平衡。</w:t>
      </w:r>
    </w:p>
    <w:p w14:paraId="1773A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年全区社会保险基金预算收支平衡情况表</w:t>
      </w:r>
    </w:p>
    <w:p w14:paraId="261B8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7770" w:firstLineChars="3700"/>
        <w:jc w:val="left"/>
        <w:textAlignment w:val="auto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shd w:val="clear" w:color="auto" w:fill="auto"/>
          <w:lang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>单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shd w:val="clear" w:color="auto" w:fill="auto"/>
          <w:lang w:eastAsia="zh-CN"/>
        </w:rPr>
        <w:t>位：万元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3"/>
        <w:gridCol w:w="1410"/>
        <w:gridCol w:w="3141"/>
        <w:gridCol w:w="1452"/>
      </w:tblGrid>
      <w:tr w14:paraId="38E3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2673" w:type="dxa"/>
            <w:noWrap w:val="0"/>
            <w:vAlign w:val="center"/>
          </w:tcPr>
          <w:p w14:paraId="3CADF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收入</w:t>
            </w:r>
          </w:p>
        </w:tc>
        <w:tc>
          <w:tcPr>
            <w:tcW w:w="1410" w:type="dxa"/>
            <w:noWrap w:val="0"/>
            <w:vAlign w:val="center"/>
          </w:tcPr>
          <w:p w14:paraId="0407C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数额</w:t>
            </w:r>
          </w:p>
        </w:tc>
        <w:tc>
          <w:tcPr>
            <w:tcW w:w="3141" w:type="dxa"/>
            <w:noWrap w:val="0"/>
            <w:vAlign w:val="center"/>
          </w:tcPr>
          <w:p w14:paraId="4BD7B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支出</w:t>
            </w:r>
          </w:p>
        </w:tc>
        <w:tc>
          <w:tcPr>
            <w:tcW w:w="1452" w:type="dxa"/>
            <w:noWrap w:val="0"/>
            <w:vAlign w:val="center"/>
          </w:tcPr>
          <w:p w14:paraId="5C6D9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数额</w:t>
            </w:r>
          </w:p>
        </w:tc>
      </w:tr>
      <w:tr w14:paraId="4D20B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2673" w:type="dxa"/>
            <w:noWrap w:val="0"/>
            <w:vAlign w:val="center"/>
          </w:tcPr>
          <w:p w14:paraId="200E7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社会保险基金收入</w:t>
            </w:r>
          </w:p>
        </w:tc>
        <w:tc>
          <w:tcPr>
            <w:tcW w:w="1410" w:type="dxa"/>
            <w:noWrap w:val="0"/>
            <w:vAlign w:val="center"/>
          </w:tcPr>
          <w:p w14:paraId="0BC17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4475</w:t>
            </w:r>
          </w:p>
        </w:tc>
        <w:tc>
          <w:tcPr>
            <w:tcW w:w="3141" w:type="dxa"/>
            <w:noWrap w:val="0"/>
            <w:vAlign w:val="center"/>
          </w:tcPr>
          <w:p w14:paraId="3DDE8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社会保险基金支出</w:t>
            </w:r>
          </w:p>
        </w:tc>
        <w:tc>
          <w:tcPr>
            <w:tcW w:w="1452" w:type="dxa"/>
            <w:noWrap w:val="0"/>
            <w:vAlign w:val="center"/>
          </w:tcPr>
          <w:p w14:paraId="67C57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10913</w:t>
            </w:r>
          </w:p>
        </w:tc>
      </w:tr>
      <w:tr w14:paraId="761C1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2673" w:type="dxa"/>
            <w:noWrap w:val="0"/>
            <w:vAlign w:val="center"/>
          </w:tcPr>
          <w:p w14:paraId="48AF5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财政补贴收入</w:t>
            </w:r>
          </w:p>
        </w:tc>
        <w:tc>
          <w:tcPr>
            <w:tcW w:w="1410" w:type="dxa"/>
            <w:noWrap w:val="0"/>
            <w:vAlign w:val="center"/>
          </w:tcPr>
          <w:p w14:paraId="60011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6247</w:t>
            </w:r>
          </w:p>
        </w:tc>
        <w:tc>
          <w:tcPr>
            <w:tcW w:w="3141" w:type="dxa"/>
            <w:shd w:val="clear" w:color="auto" w:fill="auto"/>
            <w:noWrap w:val="0"/>
            <w:vAlign w:val="center"/>
          </w:tcPr>
          <w:p w14:paraId="7EE01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  <w:t>其他支出</w:t>
            </w:r>
          </w:p>
        </w:tc>
        <w:tc>
          <w:tcPr>
            <w:tcW w:w="1452" w:type="dxa"/>
            <w:shd w:val="clear" w:color="auto" w:fill="auto"/>
            <w:noWrap w:val="0"/>
            <w:vAlign w:val="center"/>
          </w:tcPr>
          <w:p w14:paraId="0EE5E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</w:tr>
      <w:tr w14:paraId="79DA5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exact"/>
          <w:jc w:val="center"/>
        </w:trPr>
        <w:tc>
          <w:tcPr>
            <w:tcW w:w="2673" w:type="dxa"/>
            <w:noWrap w:val="0"/>
            <w:vAlign w:val="center"/>
          </w:tcPr>
          <w:p w14:paraId="05E72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转移收入</w:t>
            </w:r>
          </w:p>
        </w:tc>
        <w:tc>
          <w:tcPr>
            <w:tcW w:w="1410" w:type="dxa"/>
            <w:noWrap w:val="0"/>
            <w:vAlign w:val="center"/>
          </w:tcPr>
          <w:p w14:paraId="5942B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445</w:t>
            </w:r>
          </w:p>
        </w:tc>
        <w:tc>
          <w:tcPr>
            <w:tcW w:w="3141" w:type="dxa"/>
            <w:shd w:val="clear" w:color="auto" w:fill="auto"/>
            <w:noWrap w:val="0"/>
            <w:vAlign w:val="center"/>
          </w:tcPr>
          <w:p w14:paraId="4C4F6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转移支出</w:t>
            </w:r>
          </w:p>
        </w:tc>
        <w:tc>
          <w:tcPr>
            <w:tcW w:w="1452" w:type="dxa"/>
            <w:shd w:val="clear" w:color="auto" w:fill="auto"/>
            <w:noWrap w:val="0"/>
            <w:vAlign w:val="center"/>
          </w:tcPr>
          <w:p w14:paraId="03B73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273</w:t>
            </w:r>
          </w:p>
        </w:tc>
      </w:tr>
      <w:tr w14:paraId="4D839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exact"/>
          <w:jc w:val="center"/>
        </w:trPr>
        <w:tc>
          <w:tcPr>
            <w:tcW w:w="2673" w:type="dxa"/>
            <w:noWrap w:val="0"/>
            <w:vAlign w:val="center"/>
          </w:tcPr>
          <w:p w14:paraId="16B3A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利息收入</w:t>
            </w:r>
          </w:p>
        </w:tc>
        <w:tc>
          <w:tcPr>
            <w:tcW w:w="1410" w:type="dxa"/>
            <w:noWrap w:val="0"/>
            <w:vAlign w:val="center"/>
          </w:tcPr>
          <w:p w14:paraId="7DAFC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3141" w:type="dxa"/>
            <w:shd w:val="clear" w:color="auto" w:fill="auto"/>
            <w:noWrap w:val="0"/>
            <w:vAlign w:val="center"/>
          </w:tcPr>
          <w:p w14:paraId="33FF2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滚存结余</w:t>
            </w:r>
          </w:p>
        </w:tc>
        <w:tc>
          <w:tcPr>
            <w:tcW w:w="1452" w:type="dxa"/>
            <w:shd w:val="clear" w:color="auto" w:fill="auto"/>
            <w:noWrap w:val="0"/>
            <w:vAlign w:val="center"/>
          </w:tcPr>
          <w:p w14:paraId="1C2A6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18</w:t>
            </w:r>
          </w:p>
        </w:tc>
      </w:tr>
      <w:tr w14:paraId="0E367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2673" w:type="dxa"/>
            <w:noWrap w:val="0"/>
            <w:vAlign w:val="center"/>
          </w:tcPr>
          <w:p w14:paraId="7D0FF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  <w:t>上年结余</w:t>
            </w:r>
          </w:p>
        </w:tc>
        <w:tc>
          <w:tcPr>
            <w:tcW w:w="1410" w:type="dxa"/>
            <w:noWrap w:val="0"/>
            <w:vAlign w:val="center"/>
          </w:tcPr>
          <w:p w14:paraId="61B7D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34</w:t>
            </w:r>
          </w:p>
        </w:tc>
        <w:tc>
          <w:tcPr>
            <w:tcW w:w="3141" w:type="dxa"/>
            <w:noWrap w:val="0"/>
            <w:vAlign w:val="center"/>
          </w:tcPr>
          <w:p w14:paraId="1BAA7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60E2F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5D88F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2673" w:type="dxa"/>
            <w:noWrap w:val="0"/>
            <w:vAlign w:val="center"/>
          </w:tcPr>
          <w:p w14:paraId="3B3E2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其他收入</w:t>
            </w:r>
          </w:p>
        </w:tc>
        <w:tc>
          <w:tcPr>
            <w:tcW w:w="1410" w:type="dxa"/>
            <w:noWrap w:val="0"/>
            <w:vAlign w:val="center"/>
          </w:tcPr>
          <w:p w14:paraId="1ADDE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3141" w:type="dxa"/>
            <w:noWrap w:val="0"/>
            <w:vAlign w:val="center"/>
          </w:tcPr>
          <w:p w14:paraId="2F106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77CD2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6EF05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2673" w:type="dxa"/>
            <w:shd w:val="clear" w:color="auto" w:fill="auto"/>
            <w:noWrap w:val="0"/>
            <w:vAlign w:val="center"/>
          </w:tcPr>
          <w:p w14:paraId="684C9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收入总计</w:t>
            </w:r>
          </w:p>
        </w:tc>
        <w:tc>
          <w:tcPr>
            <w:tcW w:w="1410" w:type="dxa"/>
            <w:shd w:val="clear" w:color="auto" w:fill="auto"/>
            <w:noWrap w:val="0"/>
            <w:vAlign w:val="center"/>
          </w:tcPr>
          <w:p w14:paraId="770EC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11204</w:t>
            </w:r>
          </w:p>
        </w:tc>
        <w:tc>
          <w:tcPr>
            <w:tcW w:w="3141" w:type="dxa"/>
            <w:shd w:val="clear" w:color="auto" w:fill="auto"/>
            <w:noWrap w:val="0"/>
            <w:vAlign w:val="center"/>
          </w:tcPr>
          <w:p w14:paraId="6F70A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</w:rPr>
              <w:t>支出总计</w:t>
            </w:r>
          </w:p>
        </w:tc>
        <w:tc>
          <w:tcPr>
            <w:tcW w:w="1452" w:type="dxa"/>
            <w:shd w:val="clear" w:color="auto" w:fill="auto"/>
            <w:noWrap w:val="0"/>
            <w:vAlign w:val="center"/>
          </w:tcPr>
          <w:p w14:paraId="4CA37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/>
                <w:bCs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11204</w:t>
            </w:r>
          </w:p>
        </w:tc>
      </w:tr>
    </w:tbl>
    <w:p w14:paraId="2BB9E1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（四）国有资本经营预算执行情况</w:t>
      </w:r>
    </w:p>
    <w:p w14:paraId="286DA3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15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年，全区国有资本经营收入完成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508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万元，其中上级补助收入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508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万元。全区国有资本经营支出完成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508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万元，实现收支平衡。</w:t>
      </w:r>
    </w:p>
    <w:p w14:paraId="1D7EB3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707" w:firstLineChars="221"/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（五）政府债务情况</w:t>
      </w:r>
    </w:p>
    <w:p w14:paraId="67B89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</w:t>
      </w:r>
      <w:r>
        <w:rPr>
          <w:rFonts w:hint="eastAsia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，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省财政厅下达我区政府债务限额为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87590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万元，其中：一般债券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22862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万元，专项债券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64728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万元。202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年末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我区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系统内政府债务余额为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87590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万元，其中：一般债券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22862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万元，专项债券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64728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万元。全部为负有偿还责任的债务，控制在省政府核定的政府债务限额之内。</w:t>
      </w:r>
    </w:p>
    <w:p w14:paraId="39E68B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707" w:firstLineChars="221"/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（六）“三公”经费决算情况</w:t>
      </w:r>
    </w:p>
    <w:p w14:paraId="12E089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202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年，全区“三公”经费支出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193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万元，同比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增加9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万元，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增长4.9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%。其中：公务接待费支出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万元，公务用车购置及运行维护费支出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188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万元。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主要是本年公务用车运行维护费增加。</w:t>
      </w:r>
    </w:p>
    <w:p w14:paraId="6601E3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707" w:firstLineChars="221"/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（七）争取上级专项资金情况</w:t>
      </w:r>
    </w:p>
    <w:p w14:paraId="1C8FB5D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20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</w:rPr>
        <w:t>年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</w:rPr>
        <w:t>我区争取上级专项资金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8173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</w:rPr>
        <w:t>万元，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同比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下降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57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%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。其中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</w:rPr>
        <w:t>：一般公共服务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418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</w:rPr>
        <w:t>万元，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文化旅游体育与传媒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2000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农林水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96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</w:rPr>
        <w:t>万元，社会保障和就业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397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</w:rPr>
        <w:t>万元，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医疗卫生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96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万元，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节能环保4408万元，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资源勘探工业信息</w:t>
      </w:r>
      <w:r>
        <w:rPr>
          <w:rFonts w:hint="eastAsia" w:ascii="Times New Roman" w:hAnsi="Times New Roman" w:eastAsia="方正仿宋简体" w:cs="Times New Roman"/>
          <w:color w:val="auto"/>
          <w:spacing w:val="6"/>
          <w:sz w:val="32"/>
          <w:szCs w:val="32"/>
          <w:highlight w:val="none"/>
          <w:shd w:val="clear" w:color="auto" w:fill="auto"/>
          <w:lang w:val="en-US" w:eastAsia="zh-CN"/>
        </w:rPr>
        <w:t>374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</w:rPr>
        <w:t>万元，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其他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等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专项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384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</w:rPr>
        <w:t>。</w:t>
      </w:r>
    </w:p>
    <w:p w14:paraId="17CF0F60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highlight w:val="none"/>
          <w:lang w:eastAsia="zh-CN"/>
        </w:rPr>
        <w:t>二、</w:t>
      </w:r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落实区人大预算决议有关情况</w:t>
      </w:r>
    </w:p>
    <w:p w14:paraId="75863684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年，按照区人大十届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五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次会议确定的预算决议要求，财政部门紧紧围绕区委部署，坚持稳中求进工作总基调，强化预算刚性约束，深化财政管理改革，优化支出结构，统筹财力保障，多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措并举组织财政收入，积极应对财政收支平衡压力，确保资金精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准高效使用，为全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区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经济社会平稳健康发展提供了坚实财力支撑。</w:t>
      </w:r>
    </w:p>
    <w:p w14:paraId="2C2A40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default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（一）聚力增收固本，财源质效稳步提升</w:t>
      </w:r>
    </w:p>
    <w:p w14:paraId="2FD9B80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始终将壮大财政财力、稳固增收底盘作为核心工作，构建税收增收、非税补充、存量盘活、上级争取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四位一体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的多元化财源建设体系，全方位夯实财政增收基础。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一是抓实税收精准征管。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坚持依法征税、应收尽收，精准落实减税降费惠企政策，助力市场主体纾困解难、提质发展。强化重点行业、重点税源动态监测与分析研判，堵塞征管漏洞、严防税源流失。2025年，依托财政体制改革契机，市级下放企业税源全面落地，全区一般公共预算税收收入完成126384万元，同比增长55.5%，税收增收动能持续释放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二是深挖非税增收潜力。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健全非税收入征管联动工作机制，压实各执收单位征管主体责任，聚焦行政事业性收费、国有资源资产有偿使用、罚没收入等重点领域，全方位挖掘增收空间、补齐收入短板。2025年全区非税收入完成41874万元，同比增长104.5%，有效对冲收入波动、稳固财政收支格局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三是盘活存量闲置资源。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常态化开展财政结余结转资金清理工作，对超期未使用、项目停滞、实施条件不足的结转资金，一律收回统筹调度。市场化盘活长期闲置的国有资产资源，推动沉睡资产转化为可用财力。2025年，累计收回部门闲置存量资金1016万元，通过林业经营权、小华山经营权市场化转让，分别实现非税入库3333万元、8375万元，存量资源盘活成效显著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四是主动争取上级资金。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精准对接上级财政政策导向，抢抓转移支付、新增专项债券、超长期特别国债等政策窗口，精准谋划包装储备项目，全力争取上级资金赋能。2025年，累计争取上级财政转移支付资金55129万元、新增专项债券资金17300万元，有效缓解本级财政支出压力，为全区重点项目建设提供坚实财力支撑。</w:t>
      </w:r>
    </w:p>
    <w:p w14:paraId="00BB6AD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default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（二）聚力民生优先，支出结构持续优化</w:t>
      </w:r>
    </w:p>
    <w:p w14:paraId="7F9438D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始终坚持以人民为中心的发展思想，严格落实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压一般、保基本、兜底线、惠民生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工作要求，持续优化财政支出结构，严控一般性支出，集中财力保障重点领域、兜底民生底线，切实把财政资源转化为群众看得见、摸得着的民生福祉。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一是筑牢社会保障底线。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足额落实城乡居民养老、医疗保障财政补助政策，健全分层分类社会救助体系，精准落实各类就业扶持政策，全力稳住就业基本盘、兜牢民生底线。2025年，全年安排就业专项资金138万元，精准赋能高校毕业生、农民工、困难群众等重点群体就业创业，民生保障网越织越密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二是夯实教育发展根基。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深入落实教育优先发展战略，严格执行教育经费“两个只增不减”要求，优化教育财政资源配置，重点向乡村教育、薄弱学校、学前教育、职业教育倾斜，持续保障学前教育普惠提质、义务教育优质均衡发展。2025年，全区教育保障力度持续加大，区域教育资源配置不断优化，全力推动教育事业高质量发展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三是提升卫健服务能力。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持续优化医疗卫生财政保障机制，稳步提高城乡居民医保财政补助标准，全力支撑公立医院改革、基层医疗提质、公共卫生应急体系建设。2025年，城乡居民基本医疗保险人均财政补助标准提高至670元，全年落实财政补助资金966万元，有效筑牢基层公共卫生服务屏障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四是赋能乡村全面振兴。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统筹整合涉农专项资金，精准投向乡村基础设施建设、人居环境整治、特色产业培育等重点领域，补齐乡村发展短板。2025年，全区统筹安排乡村振兴专项资金1316万元，全方位推动乡村产业提质、人居环境提优、治理效能提升，扎实推进全域乡村振兴。</w:t>
      </w:r>
    </w:p>
    <w:p w14:paraId="7D8D6F9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eastAsia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（三）聚力改革赋能，财政管理更加规范</w:t>
      </w:r>
    </w:p>
    <w:p w14:paraId="002A929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纵深推进财税体制改革，以精细化、标准化、法治化管理为核心，健全全过程预算管理体系，持续提升财政资源配置效率和资金使用效益，推动财政治理能力现代化水平稳步提升。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一是深化零基预算改革。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打破传统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基数+增长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固化预算模式，全面推行零基预算管理，归零梳理、逐项核定年度支出，坚决清理低效无效支出。2025年，通过重构预算编制体系，实现财政资金按需分配、精准保障，大幅提升预算编制科学性与精准度。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二是坚持厉行节约增效。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常态化落实党政机关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过紧日子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要求，从严管控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三公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经费、公务差旅、会议培训等一般性支出，持续压减非重点、非刚性开支。2025年，统筹归集节约财力全部用于保障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三保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支出和重点民生领域，构建精打细算、高效务实的财政运行机制。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三是健全绩效监管体系。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构建重点项目、部门整体支出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双向绩效监控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机制，常态化开展绩效跟踪监测、预警整改，严格落实绩效评价结果与预算安排刚性挂钩。2025年，从严核减、取消低效无效项目资金，牢固树立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花钱必问效、无效必问责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的鲜明导向。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四是严守财经纪律底线。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出台专项财会监督实施方案，健全常态化监督管理机制，聚焦重点领域开展会计业务专项检查，严厉整治财经违规违纪行为。2025年，持续规范基层财务收支秩序，全方位筑牢财政资金安全规范运行防线。</w:t>
      </w:r>
    </w:p>
    <w:p w14:paraId="2CEEA7D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eastAsia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eastAsia="方正楷体简体" w:cs="Times New Roman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（四）聚力风险防控，财政运行平稳有序</w:t>
      </w:r>
    </w:p>
    <w:p w14:paraId="0764391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牢固树立底线思维、极限思维，全面压实风险防控责任，健全完善财政风险防控体系，精准防范化解各类财政风险，确保全区财政运行安全稳定、行稳致远。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一是严控政府债务风险。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严格执行债务限额管理和预算管理制度，实行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一债一策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精准化解举措，坚决遏制新增隐性债务、稳妥压降存量债务。2025年，全区政府债务率稳定控制在安全警戒线以内，债务风险平稳可控。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二是规范国资精细管理。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加快推进资产资源信息化平台建设，全面摸排梳理辖区资产资源底数，建立标准化动态管理台账，规范党政机关、事业单位及区属国企资产管理。2025年，健全全流程监管机制，严防资产流失，实现国有资产保值增值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三是兜牢财政</w:t>
      </w:r>
      <w:r>
        <w:rPr>
          <w:rFonts w:hint="eastAsia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三保</w:t>
      </w:r>
      <w:r>
        <w:rPr>
          <w:rFonts w:hint="eastAsia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底线。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始终坚守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三保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支出优先保障原则，严格对标国家保障清单，足额预留保障资金、精准核定支出规模。2025年，全区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三保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支出预算51240万元，全年无保障缺口、无保障缺位问题，财政运行基本盘稳固。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四是清偿企业存量账款。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深入开展拖欠中小企业账款专项清理行动，全覆盖摸排各类欠款、实行台账化闭环管理，多渠道筹措偿债资金，坚决杜绝新增拖欠、全力化解存量欠款。2025年，全区累计清偿中小企业拖欠账款9587万元，有效缓解企业资金压力，持续优化营商环境。</w:t>
      </w:r>
    </w:p>
    <w:p w14:paraId="018AF94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主任、各位副主任、各位委员！2025年财政决算（草案）报告如上。我们将严格对照审议决议和财政会计制度规定，逐条梳理、逐项研究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、认真整改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，不折不扣抓好落地执行。当前，我区财政运行仍存在一些突出困难和问题，财政收入持续增长的根基尚不稳固，各类刚性支出承压持续加大；部分项目预算执行进度偏慢，财政资金使用效益有待提升；重点领域财政风险防控压力依然存在。对此，我们将高度正视、靶向施策，全力补齐短板弱项、夯实运行基础。</w:t>
      </w:r>
    </w:p>
    <w:p w14:paraId="225D7FF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2026年是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十五五</w:t>
      </w:r>
      <w:r>
        <w:rPr>
          <w:rFonts w:hint="eastAsia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开局起步之年。下一步，区财政局将深入贯彻落实区人大各项决议部署，持续深化财税体制改革，精准落实积极财政政策，持续优化财政支出结构，从严规范财经秩序，坚决守牢财政风险底线，全力稳增收、保重点、提效能、防风险，为全区经济社会高质量发展筑牢坚实可靠的财政保障。</w:t>
      </w:r>
    </w:p>
    <w:p w14:paraId="3C9CEFDD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single" w:color="FFFFFF" w:sz="6" w:space="24"/>
          <w:right w:val="none" w:color="auto" w:sz="0" w:space="0"/>
        </w:pBdr>
        <w:shd w:val="clear" w:fill="FFFFFF"/>
        <w:spacing w:before="0" w:beforeAutospacing="0" w:after="300" w:afterAutospacing="0" w:line="555" w:lineRule="atLeast"/>
        <w:ind w:right="0" w:rightChars="0"/>
        <w:jc w:val="both"/>
        <w:rPr>
          <w:rFonts w:hint="default" w:eastAsia="方正仿宋简体" w:cs="Times New Roman"/>
          <w:kern w:val="2"/>
          <w:sz w:val="32"/>
          <w:szCs w:val="32"/>
          <w:highlight w:val="none"/>
          <w:lang w:val="en-US" w:eastAsia="zh-CN" w:bidi="ar-SA"/>
        </w:rPr>
      </w:pPr>
    </w:p>
    <w:sectPr>
      <w:footerReference r:id="rId3" w:type="default"/>
      <w:footerReference r:id="rId4" w:type="even"/>
      <w:pgSz w:w="11906" w:h="16838"/>
      <w:pgMar w:top="1871" w:right="1474" w:bottom="170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F15D9"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- 1 -</w:t>
    </w:r>
    <w:r>
      <w:rPr>
        <w:rStyle w:val="14"/>
      </w:rPr>
      <w:fldChar w:fldCharType="end"/>
    </w:r>
  </w:p>
  <w:p w14:paraId="5B88CF86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1A562"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 w14:paraId="3AA50C6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MGI3YjVkNzIzMTIyNzVkYjExNTY1YjMwZTAyMDAifQ=="/>
  </w:docVars>
  <w:rsids>
    <w:rsidRoot w:val="5CB63486"/>
    <w:rsid w:val="001F51FF"/>
    <w:rsid w:val="002B4765"/>
    <w:rsid w:val="004600FA"/>
    <w:rsid w:val="0059336D"/>
    <w:rsid w:val="00D021BE"/>
    <w:rsid w:val="01141A4C"/>
    <w:rsid w:val="012D362B"/>
    <w:rsid w:val="015A68C7"/>
    <w:rsid w:val="015B1D26"/>
    <w:rsid w:val="01660A28"/>
    <w:rsid w:val="01703E3E"/>
    <w:rsid w:val="019632F5"/>
    <w:rsid w:val="01F36FCC"/>
    <w:rsid w:val="020470B4"/>
    <w:rsid w:val="02064C9D"/>
    <w:rsid w:val="03980871"/>
    <w:rsid w:val="03AD7BCC"/>
    <w:rsid w:val="03CF5CD6"/>
    <w:rsid w:val="03E2379C"/>
    <w:rsid w:val="03FD0431"/>
    <w:rsid w:val="03FF1DA7"/>
    <w:rsid w:val="0402371E"/>
    <w:rsid w:val="043B416F"/>
    <w:rsid w:val="04797737"/>
    <w:rsid w:val="04943C27"/>
    <w:rsid w:val="04B52B84"/>
    <w:rsid w:val="05316B0C"/>
    <w:rsid w:val="05327688"/>
    <w:rsid w:val="053F6E04"/>
    <w:rsid w:val="058457F2"/>
    <w:rsid w:val="05880374"/>
    <w:rsid w:val="05A53E7F"/>
    <w:rsid w:val="05D9200B"/>
    <w:rsid w:val="05F11A75"/>
    <w:rsid w:val="05F467EB"/>
    <w:rsid w:val="06210BF5"/>
    <w:rsid w:val="06477D96"/>
    <w:rsid w:val="064D3498"/>
    <w:rsid w:val="06671938"/>
    <w:rsid w:val="067526A6"/>
    <w:rsid w:val="06AC2666"/>
    <w:rsid w:val="06B261DC"/>
    <w:rsid w:val="06C1595C"/>
    <w:rsid w:val="06DC5B9B"/>
    <w:rsid w:val="072374A9"/>
    <w:rsid w:val="077946F5"/>
    <w:rsid w:val="07892041"/>
    <w:rsid w:val="07F357B5"/>
    <w:rsid w:val="080B6E7B"/>
    <w:rsid w:val="08114650"/>
    <w:rsid w:val="082F08B0"/>
    <w:rsid w:val="08314CF2"/>
    <w:rsid w:val="087B1A78"/>
    <w:rsid w:val="089D5EE4"/>
    <w:rsid w:val="08A162D5"/>
    <w:rsid w:val="08B80F70"/>
    <w:rsid w:val="08BB286C"/>
    <w:rsid w:val="08C91BEF"/>
    <w:rsid w:val="08CB0CA3"/>
    <w:rsid w:val="09532A47"/>
    <w:rsid w:val="096132EB"/>
    <w:rsid w:val="09704066"/>
    <w:rsid w:val="098A6248"/>
    <w:rsid w:val="09931095"/>
    <w:rsid w:val="09D028D3"/>
    <w:rsid w:val="09D77503"/>
    <w:rsid w:val="09F95A49"/>
    <w:rsid w:val="0A3458DA"/>
    <w:rsid w:val="0A6A5710"/>
    <w:rsid w:val="0AA33360"/>
    <w:rsid w:val="0AB1599A"/>
    <w:rsid w:val="0AD025A1"/>
    <w:rsid w:val="0BB43767"/>
    <w:rsid w:val="0BF05925"/>
    <w:rsid w:val="0C0E5344"/>
    <w:rsid w:val="0C1C40A6"/>
    <w:rsid w:val="0C282989"/>
    <w:rsid w:val="0C3220C4"/>
    <w:rsid w:val="0C323D10"/>
    <w:rsid w:val="0C375D0F"/>
    <w:rsid w:val="0C3F71B1"/>
    <w:rsid w:val="0C5D230E"/>
    <w:rsid w:val="0C6F6E83"/>
    <w:rsid w:val="0C803D04"/>
    <w:rsid w:val="0CA57A5D"/>
    <w:rsid w:val="0CBA3508"/>
    <w:rsid w:val="0CC17F10"/>
    <w:rsid w:val="0CD30126"/>
    <w:rsid w:val="0CD520F0"/>
    <w:rsid w:val="0D022B9D"/>
    <w:rsid w:val="0D0B039D"/>
    <w:rsid w:val="0D0D0439"/>
    <w:rsid w:val="0D1746FE"/>
    <w:rsid w:val="0D347726"/>
    <w:rsid w:val="0D375AA3"/>
    <w:rsid w:val="0D693500"/>
    <w:rsid w:val="0D711AD3"/>
    <w:rsid w:val="0D735E31"/>
    <w:rsid w:val="0D79298D"/>
    <w:rsid w:val="0D7B050D"/>
    <w:rsid w:val="0D8F61CA"/>
    <w:rsid w:val="0DAD6BC9"/>
    <w:rsid w:val="0DB963BF"/>
    <w:rsid w:val="0E780F3B"/>
    <w:rsid w:val="0E9876DB"/>
    <w:rsid w:val="0EA07C89"/>
    <w:rsid w:val="0EDE1C7C"/>
    <w:rsid w:val="0F677860"/>
    <w:rsid w:val="0FDC790C"/>
    <w:rsid w:val="0FE76EDD"/>
    <w:rsid w:val="10094338"/>
    <w:rsid w:val="105477D0"/>
    <w:rsid w:val="10655CF3"/>
    <w:rsid w:val="107E65FB"/>
    <w:rsid w:val="10802CD6"/>
    <w:rsid w:val="108E2512"/>
    <w:rsid w:val="10AA305A"/>
    <w:rsid w:val="10AF2C58"/>
    <w:rsid w:val="10F310E7"/>
    <w:rsid w:val="115C4503"/>
    <w:rsid w:val="11645124"/>
    <w:rsid w:val="116A015E"/>
    <w:rsid w:val="116B279E"/>
    <w:rsid w:val="117471FB"/>
    <w:rsid w:val="117C2C3C"/>
    <w:rsid w:val="11C632FE"/>
    <w:rsid w:val="11D93F17"/>
    <w:rsid w:val="11EF5060"/>
    <w:rsid w:val="12114CEA"/>
    <w:rsid w:val="12483364"/>
    <w:rsid w:val="126116D5"/>
    <w:rsid w:val="127D0E25"/>
    <w:rsid w:val="128359EC"/>
    <w:rsid w:val="129F47D1"/>
    <w:rsid w:val="1328669A"/>
    <w:rsid w:val="139213F5"/>
    <w:rsid w:val="139B5716"/>
    <w:rsid w:val="139C7FA0"/>
    <w:rsid w:val="13A75859"/>
    <w:rsid w:val="13AF0F49"/>
    <w:rsid w:val="13BA3DEE"/>
    <w:rsid w:val="13D62108"/>
    <w:rsid w:val="13D823CA"/>
    <w:rsid w:val="13E16355"/>
    <w:rsid w:val="13EE5F81"/>
    <w:rsid w:val="14060DE1"/>
    <w:rsid w:val="14107F4D"/>
    <w:rsid w:val="1432120A"/>
    <w:rsid w:val="143F5822"/>
    <w:rsid w:val="144E6AF8"/>
    <w:rsid w:val="146B1E68"/>
    <w:rsid w:val="1478708B"/>
    <w:rsid w:val="148B76F1"/>
    <w:rsid w:val="14B438F1"/>
    <w:rsid w:val="14B86821"/>
    <w:rsid w:val="14BE5684"/>
    <w:rsid w:val="1510339F"/>
    <w:rsid w:val="15292BCB"/>
    <w:rsid w:val="152A092D"/>
    <w:rsid w:val="15520056"/>
    <w:rsid w:val="1594152E"/>
    <w:rsid w:val="15DF15B8"/>
    <w:rsid w:val="15F4486A"/>
    <w:rsid w:val="161121A3"/>
    <w:rsid w:val="175C073B"/>
    <w:rsid w:val="177734BB"/>
    <w:rsid w:val="178A25B4"/>
    <w:rsid w:val="179769DC"/>
    <w:rsid w:val="17AF25E4"/>
    <w:rsid w:val="17AF7CE8"/>
    <w:rsid w:val="17B7090E"/>
    <w:rsid w:val="17B82654"/>
    <w:rsid w:val="180264E0"/>
    <w:rsid w:val="183514FB"/>
    <w:rsid w:val="18374C5F"/>
    <w:rsid w:val="184B12E5"/>
    <w:rsid w:val="186D3269"/>
    <w:rsid w:val="18852530"/>
    <w:rsid w:val="18B369F8"/>
    <w:rsid w:val="18C97B09"/>
    <w:rsid w:val="194640B7"/>
    <w:rsid w:val="198244EA"/>
    <w:rsid w:val="1A0314E0"/>
    <w:rsid w:val="1A04537E"/>
    <w:rsid w:val="1A0A6AB1"/>
    <w:rsid w:val="1A134258"/>
    <w:rsid w:val="1A154DE8"/>
    <w:rsid w:val="1A3E686C"/>
    <w:rsid w:val="1A7A583F"/>
    <w:rsid w:val="1A8334BC"/>
    <w:rsid w:val="1A856211"/>
    <w:rsid w:val="1ABA160A"/>
    <w:rsid w:val="1AD03EF7"/>
    <w:rsid w:val="1ADD6614"/>
    <w:rsid w:val="1AEE0DBD"/>
    <w:rsid w:val="1AFC3EBC"/>
    <w:rsid w:val="1B041DF3"/>
    <w:rsid w:val="1B543FBB"/>
    <w:rsid w:val="1B6B3C20"/>
    <w:rsid w:val="1B854972"/>
    <w:rsid w:val="1B8F437C"/>
    <w:rsid w:val="1BA371BD"/>
    <w:rsid w:val="1BBD544E"/>
    <w:rsid w:val="1BD34155"/>
    <w:rsid w:val="1BDA37C1"/>
    <w:rsid w:val="1C142509"/>
    <w:rsid w:val="1C3C0347"/>
    <w:rsid w:val="1C467BAB"/>
    <w:rsid w:val="1D2249AC"/>
    <w:rsid w:val="1D492719"/>
    <w:rsid w:val="1D6E2249"/>
    <w:rsid w:val="1D8B6A06"/>
    <w:rsid w:val="1DAA75BC"/>
    <w:rsid w:val="1DB15A9C"/>
    <w:rsid w:val="1E11610A"/>
    <w:rsid w:val="1E4C0869"/>
    <w:rsid w:val="1E562FD7"/>
    <w:rsid w:val="1E85149C"/>
    <w:rsid w:val="1E860D4B"/>
    <w:rsid w:val="1EC911CE"/>
    <w:rsid w:val="1F020775"/>
    <w:rsid w:val="1F2B5190"/>
    <w:rsid w:val="1F477FE0"/>
    <w:rsid w:val="1F730AA4"/>
    <w:rsid w:val="1FB976CC"/>
    <w:rsid w:val="1FF97C68"/>
    <w:rsid w:val="200F23A0"/>
    <w:rsid w:val="201D5EE8"/>
    <w:rsid w:val="20BF6FF2"/>
    <w:rsid w:val="212F207F"/>
    <w:rsid w:val="213B38BD"/>
    <w:rsid w:val="21845620"/>
    <w:rsid w:val="218667FF"/>
    <w:rsid w:val="21B207FA"/>
    <w:rsid w:val="21B3430C"/>
    <w:rsid w:val="21F52EF8"/>
    <w:rsid w:val="221E7C3E"/>
    <w:rsid w:val="222147AE"/>
    <w:rsid w:val="22BF06AC"/>
    <w:rsid w:val="22C2389A"/>
    <w:rsid w:val="23183E34"/>
    <w:rsid w:val="237A7838"/>
    <w:rsid w:val="23E43E83"/>
    <w:rsid w:val="23E76C9A"/>
    <w:rsid w:val="23F322EF"/>
    <w:rsid w:val="245E7561"/>
    <w:rsid w:val="246D6C5B"/>
    <w:rsid w:val="246E7C3C"/>
    <w:rsid w:val="24CC16F8"/>
    <w:rsid w:val="24E20D41"/>
    <w:rsid w:val="256377D9"/>
    <w:rsid w:val="257F27A2"/>
    <w:rsid w:val="25C412FF"/>
    <w:rsid w:val="26043D20"/>
    <w:rsid w:val="26304829"/>
    <w:rsid w:val="267A4756"/>
    <w:rsid w:val="267C2231"/>
    <w:rsid w:val="269716E2"/>
    <w:rsid w:val="271843D1"/>
    <w:rsid w:val="271E5FF2"/>
    <w:rsid w:val="272429BA"/>
    <w:rsid w:val="2726079E"/>
    <w:rsid w:val="272B7390"/>
    <w:rsid w:val="272F7D88"/>
    <w:rsid w:val="273245C8"/>
    <w:rsid w:val="274517C8"/>
    <w:rsid w:val="27496600"/>
    <w:rsid w:val="277D6AE5"/>
    <w:rsid w:val="27800A53"/>
    <w:rsid w:val="27F7769D"/>
    <w:rsid w:val="280166D5"/>
    <w:rsid w:val="2887329D"/>
    <w:rsid w:val="2895320A"/>
    <w:rsid w:val="28981F1C"/>
    <w:rsid w:val="289E6E77"/>
    <w:rsid w:val="28E0326C"/>
    <w:rsid w:val="29435F78"/>
    <w:rsid w:val="296331C7"/>
    <w:rsid w:val="29992706"/>
    <w:rsid w:val="29A42BEB"/>
    <w:rsid w:val="29B939D4"/>
    <w:rsid w:val="29BE16AE"/>
    <w:rsid w:val="29DC67E6"/>
    <w:rsid w:val="29E71D43"/>
    <w:rsid w:val="29F74A66"/>
    <w:rsid w:val="2A2411D9"/>
    <w:rsid w:val="2A3C3E6A"/>
    <w:rsid w:val="2B05115E"/>
    <w:rsid w:val="2B2142FB"/>
    <w:rsid w:val="2B3A46EC"/>
    <w:rsid w:val="2B5F4052"/>
    <w:rsid w:val="2B68413C"/>
    <w:rsid w:val="2B807273"/>
    <w:rsid w:val="2B9845BD"/>
    <w:rsid w:val="2BA63AFA"/>
    <w:rsid w:val="2C220A4D"/>
    <w:rsid w:val="2C296EDE"/>
    <w:rsid w:val="2C413B99"/>
    <w:rsid w:val="2CCA6C88"/>
    <w:rsid w:val="2D2A56E9"/>
    <w:rsid w:val="2D496436"/>
    <w:rsid w:val="2DCE3EA3"/>
    <w:rsid w:val="2E0C7DEF"/>
    <w:rsid w:val="2E1E1A8D"/>
    <w:rsid w:val="2E206AEC"/>
    <w:rsid w:val="2E3254B4"/>
    <w:rsid w:val="2E344345"/>
    <w:rsid w:val="2E5D564A"/>
    <w:rsid w:val="2E7A1578"/>
    <w:rsid w:val="2EA62E1C"/>
    <w:rsid w:val="2EAD3A2C"/>
    <w:rsid w:val="2EB3170E"/>
    <w:rsid w:val="2EC3595F"/>
    <w:rsid w:val="2EC91E34"/>
    <w:rsid w:val="2F0E7320"/>
    <w:rsid w:val="2F130C88"/>
    <w:rsid w:val="2F1D1DCE"/>
    <w:rsid w:val="2F205BE3"/>
    <w:rsid w:val="2F5066D7"/>
    <w:rsid w:val="2F88322B"/>
    <w:rsid w:val="2FAD21D8"/>
    <w:rsid w:val="2FD23117"/>
    <w:rsid w:val="30130EE8"/>
    <w:rsid w:val="30390D84"/>
    <w:rsid w:val="30986693"/>
    <w:rsid w:val="30B2578A"/>
    <w:rsid w:val="30CA6CB2"/>
    <w:rsid w:val="31247774"/>
    <w:rsid w:val="31554CFE"/>
    <w:rsid w:val="315D0A8C"/>
    <w:rsid w:val="317251C4"/>
    <w:rsid w:val="319A60FC"/>
    <w:rsid w:val="31AD6F48"/>
    <w:rsid w:val="31EB21BE"/>
    <w:rsid w:val="32096215"/>
    <w:rsid w:val="3236246F"/>
    <w:rsid w:val="32401088"/>
    <w:rsid w:val="32456DF1"/>
    <w:rsid w:val="325B742B"/>
    <w:rsid w:val="3292458B"/>
    <w:rsid w:val="32C25C14"/>
    <w:rsid w:val="32CB4C37"/>
    <w:rsid w:val="32D24A36"/>
    <w:rsid w:val="332E1CAB"/>
    <w:rsid w:val="3364747B"/>
    <w:rsid w:val="336E4747"/>
    <w:rsid w:val="33964F33"/>
    <w:rsid w:val="339725AE"/>
    <w:rsid w:val="339F273A"/>
    <w:rsid w:val="33AB6E58"/>
    <w:rsid w:val="33AE370E"/>
    <w:rsid w:val="33B15246"/>
    <w:rsid w:val="33C3259F"/>
    <w:rsid w:val="33DE547F"/>
    <w:rsid w:val="340E30B5"/>
    <w:rsid w:val="34432ACD"/>
    <w:rsid w:val="348A3678"/>
    <w:rsid w:val="34E84D7B"/>
    <w:rsid w:val="350008C8"/>
    <w:rsid w:val="352038E7"/>
    <w:rsid w:val="355C7E2B"/>
    <w:rsid w:val="35902A39"/>
    <w:rsid w:val="35956011"/>
    <w:rsid w:val="35AF46C7"/>
    <w:rsid w:val="361C5072"/>
    <w:rsid w:val="363F78E6"/>
    <w:rsid w:val="36830DC7"/>
    <w:rsid w:val="36A33AE5"/>
    <w:rsid w:val="36BF2EBF"/>
    <w:rsid w:val="36DD3098"/>
    <w:rsid w:val="36FC3E02"/>
    <w:rsid w:val="37077BA9"/>
    <w:rsid w:val="37377380"/>
    <w:rsid w:val="374522DF"/>
    <w:rsid w:val="37692828"/>
    <w:rsid w:val="379768DC"/>
    <w:rsid w:val="379D6FCC"/>
    <w:rsid w:val="37A256FF"/>
    <w:rsid w:val="37BE0DAD"/>
    <w:rsid w:val="37F779A8"/>
    <w:rsid w:val="381B0678"/>
    <w:rsid w:val="383E7C29"/>
    <w:rsid w:val="388C36FB"/>
    <w:rsid w:val="389B393F"/>
    <w:rsid w:val="38B74152"/>
    <w:rsid w:val="38DD5C01"/>
    <w:rsid w:val="38E2156D"/>
    <w:rsid w:val="38E717F3"/>
    <w:rsid w:val="38E95C33"/>
    <w:rsid w:val="3916655D"/>
    <w:rsid w:val="39305AFB"/>
    <w:rsid w:val="39355B41"/>
    <w:rsid w:val="394A078E"/>
    <w:rsid w:val="395656F1"/>
    <w:rsid w:val="39BB7346"/>
    <w:rsid w:val="39C74904"/>
    <w:rsid w:val="3A19252F"/>
    <w:rsid w:val="3A21674F"/>
    <w:rsid w:val="3A34114D"/>
    <w:rsid w:val="3A484B18"/>
    <w:rsid w:val="3A985A36"/>
    <w:rsid w:val="3A9A7B87"/>
    <w:rsid w:val="3AB7231C"/>
    <w:rsid w:val="3ABA3D4F"/>
    <w:rsid w:val="3ADA5D22"/>
    <w:rsid w:val="3B0E72EA"/>
    <w:rsid w:val="3B151A27"/>
    <w:rsid w:val="3B2714BA"/>
    <w:rsid w:val="3B29028D"/>
    <w:rsid w:val="3B70502D"/>
    <w:rsid w:val="3B804746"/>
    <w:rsid w:val="3BAA174F"/>
    <w:rsid w:val="3BC91735"/>
    <w:rsid w:val="3BEB28CD"/>
    <w:rsid w:val="3C0C59EA"/>
    <w:rsid w:val="3C2812CF"/>
    <w:rsid w:val="3C7B7D0F"/>
    <w:rsid w:val="3C992643"/>
    <w:rsid w:val="3CAA40F7"/>
    <w:rsid w:val="3CAB559B"/>
    <w:rsid w:val="3CC44087"/>
    <w:rsid w:val="3CD04E10"/>
    <w:rsid w:val="3D336B9D"/>
    <w:rsid w:val="3D7306A2"/>
    <w:rsid w:val="3DD31B91"/>
    <w:rsid w:val="3DD96430"/>
    <w:rsid w:val="3DDC7DE9"/>
    <w:rsid w:val="3E2A2057"/>
    <w:rsid w:val="3E3B2E1D"/>
    <w:rsid w:val="3E8B6203"/>
    <w:rsid w:val="3ED6552D"/>
    <w:rsid w:val="3EEB77FE"/>
    <w:rsid w:val="3F317B90"/>
    <w:rsid w:val="3F406B13"/>
    <w:rsid w:val="3F5B4701"/>
    <w:rsid w:val="3FA11A46"/>
    <w:rsid w:val="40195B09"/>
    <w:rsid w:val="404D5327"/>
    <w:rsid w:val="40514A44"/>
    <w:rsid w:val="40850517"/>
    <w:rsid w:val="409F4853"/>
    <w:rsid w:val="413C5593"/>
    <w:rsid w:val="414C5BCC"/>
    <w:rsid w:val="41594397"/>
    <w:rsid w:val="41701649"/>
    <w:rsid w:val="41CB0112"/>
    <w:rsid w:val="41D37CA5"/>
    <w:rsid w:val="41F32628"/>
    <w:rsid w:val="420B1C37"/>
    <w:rsid w:val="42320077"/>
    <w:rsid w:val="42850FC3"/>
    <w:rsid w:val="431D5255"/>
    <w:rsid w:val="438B7474"/>
    <w:rsid w:val="438C4CBE"/>
    <w:rsid w:val="438C6381"/>
    <w:rsid w:val="43C6182E"/>
    <w:rsid w:val="43F71802"/>
    <w:rsid w:val="440E2A54"/>
    <w:rsid w:val="4433402D"/>
    <w:rsid w:val="4450747E"/>
    <w:rsid w:val="44A84AAD"/>
    <w:rsid w:val="44AD4AAD"/>
    <w:rsid w:val="44B50652"/>
    <w:rsid w:val="44D84400"/>
    <w:rsid w:val="44E52F1F"/>
    <w:rsid w:val="450438C2"/>
    <w:rsid w:val="45141B6B"/>
    <w:rsid w:val="452A707A"/>
    <w:rsid w:val="45357369"/>
    <w:rsid w:val="45660E30"/>
    <w:rsid w:val="45905F9B"/>
    <w:rsid w:val="459B40D1"/>
    <w:rsid w:val="45C36476"/>
    <w:rsid w:val="45F63710"/>
    <w:rsid w:val="45FB5A1D"/>
    <w:rsid w:val="45FF0808"/>
    <w:rsid w:val="46281304"/>
    <w:rsid w:val="46396033"/>
    <w:rsid w:val="46BF6A4A"/>
    <w:rsid w:val="47172362"/>
    <w:rsid w:val="47461460"/>
    <w:rsid w:val="47643D6D"/>
    <w:rsid w:val="48640310"/>
    <w:rsid w:val="48671147"/>
    <w:rsid w:val="4880045B"/>
    <w:rsid w:val="4924528A"/>
    <w:rsid w:val="493D1461"/>
    <w:rsid w:val="49A31927"/>
    <w:rsid w:val="49F07E39"/>
    <w:rsid w:val="49F67E1D"/>
    <w:rsid w:val="4A056EF5"/>
    <w:rsid w:val="4A6441A1"/>
    <w:rsid w:val="4A6776D8"/>
    <w:rsid w:val="4A6C37CC"/>
    <w:rsid w:val="4AA87F13"/>
    <w:rsid w:val="4AAC764D"/>
    <w:rsid w:val="4ABA0C53"/>
    <w:rsid w:val="4AC93F8B"/>
    <w:rsid w:val="4B0561E0"/>
    <w:rsid w:val="4B1B56C8"/>
    <w:rsid w:val="4B6C4CC7"/>
    <w:rsid w:val="4B852B29"/>
    <w:rsid w:val="4C0D7EEB"/>
    <w:rsid w:val="4CAB48C9"/>
    <w:rsid w:val="4CFB09F8"/>
    <w:rsid w:val="4D1046D9"/>
    <w:rsid w:val="4D502B15"/>
    <w:rsid w:val="4D532D26"/>
    <w:rsid w:val="4DA46E47"/>
    <w:rsid w:val="4DC16D8D"/>
    <w:rsid w:val="4DC268E1"/>
    <w:rsid w:val="4DF57EE2"/>
    <w:rsid w:val="4E0B2970"/>
    <w:rsid w:val="4E0B58F3"/>
    <w:rsid w:val="4E1C1B49"/>
    <w:rsid w:val="4E55686A"/>
    <w:rsid w:val="4EA43E6F"/>
    <w:rsid w:val="4F1524E2"/>
    <w:rsid w:val="4F162A03"/>
    <w:rsid w:val="4F1F2186"/>
    <w:rsid w:val="4F9E1EF1"/>
    <w:rsid w:val="4FB7355E"/>
    <w:rsid w:val="4FD94CD7"/>
    <w:rsid w:val="5000430B"/>
    <w:rsid w:val="50133924"/>
    <w:rsid w:val="507F2C1F"/>
    <w:rsid w:val="50C3263F"/>
    <w:rsid w:val="50F1639A"/>
    <w:rsid w:val="50F30247"/>
    <w:rsid w:val="50FC49C9"/>
    <w:rsid w:val="510526E9"/>
    <w:rsid w:val="510C44BB"/>
    <w:rsid w:val="51134562"/>
    <w:rsid w:val="5118200F"/>
    <w:rsid w:val="51256B67"/>
    <w:rsid w:val="51484E94"/>
    <w:rsid w:val="5158718E"/>
    <w:rsid w:val="51605738"/>
    <w:rsid w:val="51A43B1F"/>
    <w:rsid w:val="51C659E2"/>
    <w:rsid w:val="51C86BD3"/>
    <w:rsid w:val="51D5742D"/>
    <w:rsid w:val="51D72CFE"/>
    <w:rsid w:val="52FD636E"/>
    <w:rsid w:val="538D3E88"/>
    <w:rsid w:val="539A344E"/>
    <w:rsid w:val="53AC334F"/>
    <w:rsid w:val="53B60821"/>
    <w:rsid w:val="53E52F47"/>
    <w:rsid w:val="53F743E5"/>
    <w:rsid w:val="540630FA"/>
    <w:rsid w:val="544667B3"/>
    <w:rsid w:val="545B7606"/>
    <w:rsid w:val="54790C9A"/>
    <w:rsid w:val="54DB6AB6"/>
    <w:rsid w:val="55147F3F"/>
    <w:rsid w:val="55164621"/>
    <w:rsid w:val="55240B74"/>
    <w:rsid w:val="55303CB3"/>
    <w:rsid w:val="556A671B"/>
    <w:rsid w:val="558A0E03"/>
    <w:rsid w:val="55A007DB"/>
    <w:rsid w:val="55C71EFC"/>
    <w:rsid w:val="562D17E8"/>
    <w:rsid w:val="563D7371"/>
    <w:rsid w:val="564316F4"/>
    <w:rsid w:val="56436BD5"/>
    <w:rsid w:val="566D5E8E"/>
    <w:rsid w:val="56717635"/>
    <w:rsid w:val="56C708EE"/>
    <w:rsid w:val="56CD2DFE"/>
    <w:rsid w:val="56F328E0"/>
    <w:rsid w:val="570711E7"/>
    <w:rsid w:val="57685E94"/>
    <w:rsid w:val="57A557CA"/>
    <w:rsid w:val="57D57E87"/>
    <w:rsid w:val="580C03E7"/>
    <w:rsid w:val="58226945"/>
    <w:rsid w:val="58453E2F"/>
    <w:rsid w:val="58545F96"/>
    <w:rsid w:val="58804B52"/>
    <w:rsid w:val="58B06B3A"/>
    <w:rsid w:val="590B1FC3"/>
    <w:rsid w:val="590D5936"/>
    <w:rsid w:val="59353372"/>
    <w:rsid w:val="59494E07"/>
    <w:rsid w:val="599E4814"/>
    <w:rsid w:val="59A321FB"/>
    <w:rsid w:val="59A70B70"/>
    <w:rsid w:val="59D34F0E"/>
    <w:rsid w:val="59DB3E06"/>
    <w:rsid w:val="59E93967"/>
    <w:rsid w:val="59F36CDF"/>
    <w:rsid w:val="5A004954"/>
    <w:rsid w:val="5A4C2FD0"/>
    <w:rsid w:val="5A5336DF"/>
    <w:rsid w:val="5ADB4A49"/>
    <w:rsid w:val="5AED76EB"/>
    <w:rsid w:val="5AF2343A"/>
    <w:rsid w:val="5B18494E"/>
    <w:rsid w:val="5B1B5005"/>
    <w:rsid w:val="5B9333B2"/>
    <w:rsid w:val="5BCA7F5D"/>
    <w:rsid w:val="5BF71B67"/>
    <w:rsid w:val="5C0C22DA"/>
    <w:rsid w:val="5C5A1297"/>
    <w:rsid w:val="5C6065BF"/>
    <w:rsid w:val="5CB36BF9"/>
    <w:rsid w:val="5CB63486"/>
    <w:rsid w:val="5CCB092E"/>
    <w:rsid w:val="5CD45839"/>
    <w:rsid w:val="5CFB584D"/>
    <w:rsid w:val="5D03126E"/>
    <w:rsid w:val="5D382CEC"/>
    <w:rsid w:val="5D4C6AF4"/>
    <w:rsid w:val="5D597ACB"/>
    <w:rsid w:val="5D5A6AB2"/>
    <w:rsid w:val="5D8110B6"/>
    <w:rsid w:val="5D927D50"/>
    <w:rsid w:val="5D9B4834"/>
    <w:rsid w:val="5DBB0274"/>
    <w:rsid w:val="5E331902"/>
    <w:rsid w:val="5E8545C5"/>
    <w:rsid w:val="5EB71EA0"/>
    <w:rsid w:val="5ED33427"/>
    <w:rsid w:val="5F2F1F1D"/>
    <w:rsid w:val="5F622803"/>
    <w:rsid w:val="5FA479F8"/>
    <w:rsid w:val="5FB34ADD"/>
    <w:rsid w:val="5FDC6467"/>
    <w:rsid w:val="5FE24D85"/>
    <w:rsid w:val="600E2D86"/>
    <w:rsid w:val="601B391F"/>
    <w:rsid w:val="60471F23"/>
    <w:rsid w:val="605E58EC"/>
    <w:rsid w:val="60616B9A"/>
    <w:rsid w:val="60885CA7"/>
    <w:rsid w:val="608F65D7"/>
    <w:rsid w:val="60AC65D2"/>
    <w:rsid w:val="60D618E6"/>
    <w:rsid w:val="610905C4"/>
    <w:rsid w:val="61333EDB"/>
    <w:rsid w:val="61567617"/>
    <w:rsid w:val="620C5D12"/>
    <w:rsid w:val="62706A0D"/>
    <w:rsid w:val="629B4562"/>
    <w:rsid w:val="62C33BA0"/>
    <w:rsid w:val="62C640C2"/>
    <w:rsid w:val="630C7063"/>
    <w:rsid w:val="6322307B"/>
    <w:rsid w:val="640F1388"/>
    <w:rsid w:val="64853F6E"/>
    <w:rsid w:val="64A65585"/>
    <w:rsid w:val="64A927E0"/>
    <w:rsid w:val="65030030"/>
    <w:rsid w:val="65167D25"/>
    <w:rsid w:val="65202694"/>
    <w:rsid w:val="65934F59"/>
    <w:rsid w:val="65D43A20"/>
    <w:rsid w:val="65D97056"/>
    <w:rsid w:val="65E73470"/>
    <w:rsid w:val="65EA4A5B"/>
    <w:rsid w:val="66274EA4"/>
    <w:rsid w:val="663B1A0D"/>
    <w:rsid w:val="66525B0B"/>
    <w:rsid w:val="66930F8E"/>
    <w:rsid w:val="669E26A9"/>
    <w:rsid w:val="66BC2B4E"/>
    <w:rsid w:val="66EC77AB"/>
    <w:rsid w:val="6750098D"/>
    <w:rsid w:val="675E5040"/>
    <w:rsid w:val="6776109D"/>
    <w:rsid w:val="67AA4675"/>
    <w:rsid w:val="67B07AF8"/>
    <w:rsid w:val="67E25CED"/>
    <w:rsid w:val="681A19E1"/>
    <w:rsid w:val="68376930"/>
    <w:rsid w:val="684A4429"/>
    <w:rsid w:val="685B3A92"/>
    <w:rsid w:val="6860335A"/>
    <w:rsid w:val="68CD3109"/>
    <w:rsid w:val="68F339CF"/>
    <w:rsid w:val="68F71FC3"/>
    <w:rsid w:val="69073A71"/>
    <w:rsid w:val="691E2683"/>
    <w:rsid w:val="695C3FF4"/>
    <w:rsid w:val="69C77840"/>
    <w:rsid w:val="69CA03D6"/>
    <w:rsid w:val="69E93C5A"/>
    <w:rsid w:val="69FE655B"/>
    <w:rsid w:val="6A1F69E1"/>
    <w:rsid w:val="6A241CE3"/>
    <w:rsid w:val="6A4D7021"/>
    <w:rsid w:val="6A5C2DA9"/>
    <w:rsid w:val="6A640292"/>
    <w:rsid w:val="6A680BA0"/>
    <w:rsid w:val="6A8D0A8A"/>
    <w:rsid w:val="6A922510"/>
    <w:rsid w:val="6AA51395"/>
    <w:rsid w:val="6AAD785F"/>
    <w:rsid w:val="6B084FD0"/>
    <w:rsid w:val="6B3C554C"/>
    <w:rsid w:val="6B74731A"/>
    <w:rsid w:val="6B8206D7"/>
    <w:rsid w:val="6B882AD7"/>
    <w:rsid w:val="6BAB242F"/>
    <w:rsid w:val="6BDD47A2"/>
    <w:rsid w:val="6C303D8F"/>
    <w:rsid w:val="6C3302B3"/>
    <w:rsid w:val="6C3671B3"/>
    <w:rsid w:val="6C3B7BA8"/>
    <w:rsid w:val="6C6A0FE1"/>
    <w:rsid w:val="6C8163CC"/>
    <w:rsid w:val="6CF22D10"/>
    <w:rsid w:val="6D260C49"/>
    <w:rsid w:val="6D4544C5"/>
    <w:rsid w:val="6D535020"/>
    <w:rsid w:val="6D9E363E"/>
    <w:rsid w:val="6DEC3272"/>
    <w:rsid w:val="6E0B1CE4"/>
    <w:rsid w:val="6E130F8B"/>
    <w:rsid w:val="6E2214E9"/>
    <w:rsid w:val="6E5649D4"/>
    <w:rsid w:val="6E6F0172"/>
    <w:rsid w:val="6E7543A1"/>
    <w:rsid w:val="6E874DFB"/>
    <w:rsid w:val="6EA50F15"/>
    <w:rsid w:val="6EB251C5"/>
    <w:rsid w:val="6EB64E09"/>
    <w:rsid w:val="6EC56710"/>
    <w:rsid w:val="6ECB7DD2"/>
    <w:rsid w:val="6ED24740"/>
    <w:rsid w:val="6ED71080"/>
    <w:rsid w:val="6F037B1D"/>
    <w:rsid w:val="6F1D617B"/>
    <w:rsid w:val="701C37AB"/>
    <w:rsid w:val="706D3D65"/>
    <w:rsid w:val="707953AD"/>
    <w:rsid w:val="709A1A8F"/>
    <w:rsid w:val="70BA2C8E"/>
    <w:rsid w:val="70CC09A4"/>
    <w:rsid w:val="70FA71EB"/>
    <w:rsid w:val="71673F9B"/>
    <w:rsid w:val="716F7B87"/>
    <w:rsid w:val="71793B16"/>
    <w:rsid w:val="71794BBE"/>
    <w:rsid w:val="718562BD"/>
    <w:rsid w:val="71B867AE"/>
    <w:rsid w:val="71E81BF6"/>
    <w:rsid w:val="71FE7688"/>
    <w:rsid w:val="720F4AA6"/>
    <w:rsid w:val="7232435F"/>
    <w:rsid w:val="7243622C"/>
    <w:rsid w:val="72B80E00"/>
    <w:rsid w:val="72FF3793"/>
    <w:rsid w:val="732C24AD"/>
    <w:rsid w:val="73660F04"/>
    <w:rsid w:val="737C09CA"/>
    <w:rsid w:val="73833BF7"/>
    <w:rsid w:val="738E665E"/>
    <w:rsid w:val="739C06B8"/>
    <w:rsid w:val="73BA248B"/>
    <w:rsid w:val="73CD3172"/>
    <w:rsid w:val="73D00218"/>
    <w:rsid w:val="73E778D4"/>
    <w:rsid w:val="73F310C6"/>
    <w:rsid w:val="744503A4"/>
    <w:rsid w:val="74575619"/>
    <w:rsid w:val="745761FC"/>
    <w:rsid w:val="747A7A8D"/>
    <w:rsid w:val="74943729"/>
    <w:rsid w:val="74A3341F"/>
    <w:rsid w:val="74B06B49"/>
    <w:rsid w:val="74EC0AA3"/>
    <w:rsid w:val="750C2E98"/>
    <w:rsid w:val="75671ED7"/>
    <w:rsid w:val="75717D36"/>
    <w:rsid w:val="75787FC9"/>
    <w:rsid w:val="759926FC"/>
    <w:rsid w:val="75A5137D"/>
    <w:rsid w:val="75BC6937"/>
    <w:rsid w:val="75C20DFC"/>
    <w:rsid w:val="75F776FF"/>
    <w:rsid w:val="760B6D06"/>
    <w:rsid w:val="76283D5C"/>
    <w:rsid w:val="76826259"/>
    <w:rsid w:val="76827C0C"/>
    <w:rsid w:val="76DF1884"/>
    <w:rsid w:val="76E97465"/>
    <w:rsid w:val="76FA620B"/>
    <w:rsid w:val="770D0852"/>
    <w:rsid w:val="77365AAE"/>
    <w:rsid w:val="776A3931"/>
    <w:rsid w:val="777B01FA"/>
    <w:rsid w:val="77B672F3"/>
    <w:rsid w:val="77CF4E3F"/>
    <w:rsid w:val="77E8039D"/>
    <w:rsid w:val="782971A9"/>
    <w:rsid w:val="785275FF"/>
    <w:rsid w:val="785A0103"/>
    <w:rsid w:val="786D7E5E"/>
    <w:rsid w:val="78743791"/>
    <w:rsid w:val="788E0A87"/>
    <w:rsid w:val="78DF5B46"/>
    <w:rsid w:val="790734BA"/>
    <w:rsid w:val="794B7CBB"/>
    <w:rsid w:val="7961793B"/>
    <w:rsid w:val="798D65C3"/>
    <w:rsid w:val="799758C1"/>
    <w:rsid w:val="79F34C49"/>
    <w:rsid w:val="7A085C31"/>
    <w:rsid w:val="7A6D0698"/>
    <w:rsid w:val="7A7F4152"/>
    <w:rsid w:val="7A972CE5"/>
    <w:rsid w:val="7AAD759D"/>
    <w:rsid w:val="7AC932FE"/>
    <w:rsid w:val="7B1448AF"/>
    <w:rsid w:val="7B251156"/>
    <w:rsid w:val="7B7B5976"/>
    <w:rsid w:val="7B885AFC"/>
    <w:rsid w:val="7B8A1B54"/>
    <w:rsid w:val="7B921482"/>
    <w:rsid w:val="7BA242BC"/>
    <w:rsid w:val="7BF20A3D"/>
    <w:rsid w:val="7C24028B"/>
    <w:rsid w:val="7C3116D5"/>
    <w:rsid w:val="7C356D81"/>
    <w:rsid w:val="7C37120D"/>
    <w:rsid w:val="7C400E00"/>
    <w:rsid w:val="7C4D5654"/>
    <w:rsid w:val="7C4D7561"/>
    <w:rsid w:val="7C6C75A7"/>
    <w:rsid w:val="7C9265F9"/>
    <w:rsid w:val="7CDE5175"/>
    <w:rsid w:val="7CE45CCE"/>
    <w:rsid w:val="7D0134D6"/>
    <w:rsid w:val="7D193E27"/>
    <w:rsid w:val="7D3A01A3"/>
    <w:rsid w:val="7D473247"/>
    <w:rsid w:val="7D9278D4"/>
    <w:rsid w:val="7D982C84"/>
    <w:rsid w:val="7DC93C6B"/>
    <w:rsid w:val="7E0D0B96"/>
    <w:rsid w:val="7E1257C5"/>
    <w:rsid w:val="7E261D8A"/>
    <w:rsid w:val="7E6416AA"/>
    <w:rsid w:val="7E7707BC"/>
    <w:rsid w:val="7EB3006D"/>
    <w:rsid w:val="7EF212A9"/>
    <w:rsid w:val="7EF5193D"/>
    <w:rsid w:val="7F273130"/>
    <w:rsid w:val="7F49446D"/>
    <w:rsid w:val="7F5636E8"/>
    <w:rsid w:val="7F60169F"/>
    <w:rsid w:val="7F7E01A8"/>
    <w:rsid w:val="7F8A5A67"/>
    <w:rsid w:val="7FA20C39"/>
    <w:rsid w:val="7FA97CBC"/>
    <w:rsid w:val="7FC87BF2"/>
    <w:rsid w:val="7FD574AD"/>
    <w:rsid w:val="7FE048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link w:val="12"/>
    <w:semiHidden/>
    <w:qFormat/>
    <w:uiPriority w:val="0"/>
    <w:rPr>
      <w:rFonts w:ascii="仿宋_GB2312" w:eastAsia="仿宋_GB2312" w:cs="仿宋_GB2312"/>
      <w:sz w:val="32"/>
      <w:szCs w:val="32"/>
    </w:rPr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rPr>
      <w:rFonts w:ascii="宋体" w:hAnsi="宋体"/>
      <w:sz w:val="30"/>
      <w:szCs w:val="20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Body Text Indent 2"/>
    <w:basedOn w:val="1"/>
    <w:qFormat/>
    <w:uiPriority w:val="0"/>
    <w:pPr>
      <w:tabs>
        <w:tab w:val="left" w:pos="5040"/>
      </w:tabs>
      <w:ind w:firstLine="630"/>
    </w:pPr>
    <w:rPr>
      <w:rFonts w:eastAsia="仿宋_GB2312"/>
      <w:sz w:val="32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2">
    <w:name w:val="默认段落字体 Para Char Char Char Char"/>
    <w:basedOn w:val="1"/>
    <w:link w:val="11"/>
    <w:qFormat/>
    <w:uiPriority w:val="0"/>
    <w:rPr>
      <w:rFonts w:ascii="仿宋_GB2312" w:eastAsia="仿宋_GB2312" w:cs="仿宋_GB2312"/>
      <w:sz w:val="32"/>
      <w:szCs w:val="32"/>
    </w:rPr>
  </w:style>
  <w:style w:type="character" w:styleId="13">
    <w:name w:val="Strong"/>
    <w:basedOn w:val="11"/>
    <w:qFormat/>
    <w:uiPriority w:val="0"/>
    <w:rPr>
      <w:b/>
    </w:rPr>
  </w:style>
  <w:style w:type="character" w:styleId="14">
    <w:name w:val="page number"/>
    <w:basedOn w:val="11"/>
    <w:qFormat/>
    <w:uiPriority w:val="0"/>
  </w:style>
  <w:style w:type="character" w:styleId="15">
    <w:name w:val="FollowedHyperlink"/>
    <w:basedOn w:val="11"/>
    <w:qFormat/>
    <w:uiPriority w:val="0"/>
    <w:rPr>
      <w:color w:val="800080"/>
      <w:u w:val="none"/>
    </w:rPr>
  </w:style>
  <w:style w:type="character" w:styleId="16">
    <w:name w:val="Emphasis"/>
    <w:basedOn w:val="11"/>
    <w:qFormat/>
    <w:uiPriority w:val="0"/>
  </w:style>
  <w:style w:type="character" w:styleId="17">
    <w:name w:val="Hyperlink"/>
    <w:basedOn w:val="11"/>
    <w:qFormat/>
    <w:uiPriority w:val="0"/>
    <w:rPr>
      <w:color w:val="0000FF"/>
      <w:u w:val="none"/>
    </w:rPr>
  </w:style>
  <w:style w:type="paragraph" w:customStyle="1" w:styleId="18">
    <w:name w:val="No Spacing1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9">
    <w:name w:val="name"/>
    <w:basedOn w:val="11"/>
    <w:qFormat/>
    <w:uiPriority w:val="0"/>
  </w:style>
  <w:style w:type="character" w:customStyle="1" w:styleId="20">
    <w:name w:val="info-icon5"/>
    <w:basedOn w:val="11"/>
    <w:qFormat/>
    <w:uiPriority w:val="0"/>
  </w:style>
  <w:style w:type="character" w:customStyle="1" w:styleId="21">
    <w:name w:val="info-icon7"/>
    <w:basedOn w:val="11"/>
    <w:qFormat/>
    <w:uiPriority w:val="0"/>
  </w:style>
  <w:style w:type="character" w:customStyle="1" w:styleId="22">
    <w:name w:val="info-icon4"/>
    <w:basedOn w:val="11"/>
    <w:qFormat/>
    <w:uiPriority w:val="0"/>
  </w:style>
  <w:style w:type="character" w:customStyle="1" w:styleId="23">
    <w:name w:val="info-icon41"/>
    <w:basedOn w:val="11"/>
    <w:qFormat/>
    <w:uiPriority w:val="0"/>
  </w:style>
  <w:style w:type="character" w:customStyle="1" w:styleId="24">
    <w:name w:val="info-icon1"/>
    <w:basedOn w:val="11"/>
    <w:qFormat/>
    <w:uiPriority w:val="0"/>
  </w:style>
  <w:style w:type="character" w:customStyle="1" w:styleId="25">
    <w:name w:val="info-icon11"/>
    <w:basedOn w:val="11"/>
    <w:qFormat/>
    <w:uiPriority w:val="0"/>
  </w:style>
  <w:style w:type="character" w:customStyle="1" w:styleId="26">
    <w:name w:val="info-icon2"/>
    <w:basedOn w:val="11"/>
    <w:qFormat/>
    <w:uiPriority w:val="0"/>
  </w:style>
  <w:style w:type="character" w:customStyle="1" w:styleId="27">
    <w:name w:val="info-icon21"/>
    <w:basedOn w:val="11"/>
    <w:qFormat/>
    <w:uiPriority w:val="0"/>
  </w:style>
  <w:style w:type="character" w:customStyle="1" w:styleId="28">
    <w:name w:val="info-icon3"/>
    <w:basedOn w:val="11"/>
    <w:qFormat/>
    <w:uiPriority w:val="0"/>
  </w:style>
  <w:style w:type="character" w:customStyle="1" w:styleId="29">
    <w:name w:val="info-icon31"/>
    <w:basedOn w:val="11"/>
    <w:qFormat/>
    <w:uiPriority w:val="0"/>
  </w:style>
  <w:style w:type="character" w:customStyle="1" w:styleId="30">
    <w:name w:val="info-icon6"/>
    <w:basedOn w:val="11"/>
    <w:qFormat/>
    <w:uiPriority w:val="0"/>
  </w:style>
  <w:style w:type="character" w:customStyle="1" w:styleId="31">
    <w:name w:val="info-icon61"/>
    <w:basedOn w:val="11"/>
    <w:qFormat/>
    <w:uiPriority w:val="0"/>
  </w:style>
  <w:style w:type="character" w:customStyle="1" w:styleId="32">
    <w:name w:val="fbdw"/>
    <w:basedOn w:val="11"/>
    <w:qFormat/>
    <w:uiPriority w:val="0"/>
    <w:rPr>
      <w:color w:val="333333"/>
    </w:rPr>
  </w:style>
  <w:style w:type="character" w:customStyle="1" w:styleId="33">
    <w:name w:val="syh"/>
    <w:basedOn w:val="11"/>
    <w:qFormat/>
    <w:uiPriority w:val="0"/>
  </w:style>
  <w:style w:type="character" w:customStyle="1" w:styleId="34">
    <w:name w:val="info-icon71"/>
    <w:basedOn w:val="11"/>
    <w:qFormat/>
    <w:uiPriority w:val="0"/>
  </w:style>
  <w:style w:type="character" w:customStyle="1" w:styleId="35">
    <w:name w:val="info-icon51"/>
    <w:basedOn w:val="11"/>
    <w:qFormat/>
    <w:uiPriority w:val="0"/>
  </w:style>
  <w:style w:type="paragraph" w:customStyle="1" w:styleId="36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37">
    <w:name w:val="font51"/>
    <w:basedOn w:val="11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38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9">
    <w:name w:val="font1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8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11</Pages>
  <Words>5131</Words>
  <Characters>5843</Characters>
  <Lines>0</Lines>
  <Paragraphs>0</Paragraphs>
  <TotalTime>2</TotalTime>
  <ScaleCrop>false</ScaleCrop>
  <LinksUpToDate>false</LinksUpToDate>
  <CharactersWithSpaces>5939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2018-05-24T08:38:00Z</dcterms:created>
  <dc:creator>lenovo</dc:creator>
  <cp:lastModifiedBy>ASUS</cp:lastModifiedBy>
  <cp:lastPrinted>2026-06-16T02:04:00Z</cp:lastPrinted>
  <dcterms:modified xsi:type="dcterms:W3CDTF">2026-07-21T03:04:07Z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52697E55A48F4B988EBBFBA8795CBB26_13</vt:lpwstr>
  </property>
  <property fmtid="{D5CDD505-2E9C-101B-9397-08002B2CF9AE}" pid="4" name="KSOTemplateDocerSaveRecord">
    <vt:lpwstr>eyJoZGlkIjoiZGM3NjMyYjhiMGM2MjMzMDM3NDNhYzE4NjZkMDc2NzMifQ==</vt:lpwstr>
  </property>
</Properties>
</file>